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rPr>
      </w:pPr>
    </w:p>
    <w:p>
      <w:pPr>
        <w:rPr>
          <w:rFonts w:hint="eastAsia"/>
        </w:rPr>
      </w:pPr>
    </w:p>
    <w:p>
      <w:pPr>
        <w:ind w:left="-181" w:leftChars="-86" w:right="-334" w:rightChars="-159" w:firstLine="2"/>
        <w:rPr>
          <w:rFonts w:hint="eastAsia"/>
        </w:rPr>
      </w:pPr>
      <w:r>
        <w:pict>
          <v:shape id="_x0000_i1025" o:spt="75" type="#_x0000_t75" style="height:42.75pt;width:432pt;" filled="f" o:preferrelative="t" stroked="f" coordsize="21600,21600">
            <v:path/>
            <v:fill on="f" focussize="0,0"/>
            <v:stroke on="f"/>
            <v:imagedata r:id="rId4" o:title=""/>
            <o:lock v:ext="edit" grouping="f" rotation="f" text="f" aspectratio="t"/>
            <w10:wrap type="none"/>
            <w10:anchorlock/>
          </v:shape>
        </w:pict>
      </w:r>
    </w:p>
    <w:p>
      <w:pPr>
        <w:ind w:left="-181" w:leftChars="-86" w:firstLine="2"/>
        <w:rPr>
          <w:rFonts w:hint="eastAsia" w:ascii="方正小标宋_GBK" w:hAnsi="华文中宋" w:eastAsia="方正小标宋_GBK" w:cs="宋体"/>
          <w:b/>
          <w:kern w:val="0"/>
          <w:sz w:val="48"/>
          <w:szCs w:val="48"/>
        </w:rPr>
      </w:pPr>
      <w:r>
        <w:pict>
          <v:shape id="_x0000_i1026" o:spt="75" type="#_x0000_t75" style="height:2.25pt;width:432pt;" filled="f" o:preferrelative="t" stroked="f" coordsize="21600,21600">
            <v:path/>
            <v:fill on="f" focussize="0,0"/>
            <v:stroke on="f"/>
            <v:imagedata r:id="rId5" o:title=""/>
            <o:lock v:ext="edit" grouping="f" rotation="f" text="f" aspectratio="t"/>
            <w10:wrap type="none"/>
            <w10:anchorlock/>
          </v:shape>
        </w:pict>
      </w:r>
      <w:bookmarkStart w:id="0" w:name="zhengwen"/>
    </w:p>
    <w:p>
      <w:pPr>
        <w:spacing w:line="540" w:lineRule="exact"/>
        <w:jc w:val="center"/>
        <w:rPr>
          <w:rFonts w:hint="eastAsia"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自治区财政项目支出绩效自评报告</w:t>
      </w:r>
    </w:p>
    <w:p>
      <w:pPr>
        <w:spacing w:line="540" w:lineRule="exact"/>
        <w:jc w:val="center"/>
        <w:rPr>
          <w:rFonts w:ascii="方正小标宋_GBK" w:hAnsi="华文中宋" w:eastAsia="方正小标宋_GBK" w:cs="宋体"/>
          <w:b/>
          <w:kern w:val="0"/>
          <w:sz w:val="48"/>
          <w:szCs w:val="48"/>
        </w:rPr>
      </w:pPr>
    </w:p>
    <w:p>
      <w:pPr>
        <w:spacing w:line="540" w:lineRule="exact"/>
        <w:jc w:val="left"/>
        <w:rPr>
          <w:rFonts w:hint="eastAsia" w:ascii="方正楷体_GBK" w:hAnsi="方正楷体_GBK" w:eastAsia="方正楷体_GBK" w:cs="方正楷体_GBK"/>
          <w:kern w:val="0"/>
          <w:sz w:val="36"/>
          <w:szCs w:val="36"/>
        </w:rPr>
      </w:pPr>
      <w:r>
        <w:rPr>
          <w:rFonts w:hint="eastAsia" w:ascii="方正小标宋_GBK" w:hAnsi="华文中宋" w:eastAsia="方正小标宋_GBK" w:cs="宋体"/>
          <w:b/>
          <w:kern w:val="0"/>
          <w:sz w:val="48"/>
          <w:szCs w:val="48"/>
        </w:rPr>
        <w:t xml:space="preserve">             </w:t>
      </w:r>
      <w:r>
        <w:rPr>
          <w:rFonts w:hint="eastAsia" w:ascii="方正楷体_GBK" w:hAnsi="方正楷体_GBK" w:eastAsia="方正楷体_GBK" w:cs="方正楷体_GBK"/>
          <w:color w:val="auto"/>
          <w:kern w:val="0"/>
          <w:sz w:val="36"/>
          <w:szCs w:val="36"/>
        </w:rPr>
        <w:t>（2</w:t>
      </w:r>
      <w:r>
        <w:rPr>
          <w:rFonts w:hint="eastAsia" w:ascii="方正楷体_GBK" w:hAnsi="方正楷体_GBK" w:eastAsia="方正楷体_GBK" w:cs="方正楷体_GBK"/>
          <w:color w:val="auto"/>
          <w:kern w:val="0"/>
          <w:sz w:val="36"/>
          <w:szCs w:val="36"/>
          <w:lang w:val="en-US" w:eastAsia="zh-CN"/>
        </w:rPr>
        <w:t>022</w:t>
      </w:r>
      <w:r>
        <w:rPr>
          <w:rFonts w:hint="eastAsia" w:ascii="方正楷体_GBK" w:hAnsi="方正楷体_GBK" w:eastAsia="方正楷体_GBK" w:cs="方正楷体_GBK"/>
          <w:color w:val="auto"/>
          <w:kern w:val="0"/>
          <w:sz w:val="36"/>
          <w:szCs w:val="36"/>
        </w:rPr>
        <w:t>年度）</w:t>
      </w:r>
    </w:p>
    <w:p>
      <w:pPr>
        <w:spacing w:line="540" w:lineRule="exact"/>
        <w:jc w:val="center"/>
        <w:rPr>
          <w:rFonts w:asciiTheme="minorEastAsia" w:hAnsiTheme="minorEastAsia" w:eastAsiaTheme="minorEastAsia" w:cstheme="minorEastAsia"/>
          <w:kern w:val="0"/>
          <w:sz w:val="32"/>
          <w:szCs w:val="32"/>
        </w:rPr>
      </w:pPr>
    </w:p>
    <w:p>
      <w:pPr>
        <w:spacing w:line="540" w:lineRule="exact"/>
        <w:jc w:val="center"/>
        <w:rPr>
          <w:rFonts w:asciiTheme="minorEastAsia" w:hAnsiTheme="minorEastAsia" w:eastAsiaTheme="minorEastAsia" w:cstheme="minorEastAsia"/>
          <w:kern w:val="0"/>
          <w:sz w:val="32"/>
          <w:szCs w:val="32"/>
        </w:rPr>
      </w:pPr>
    </w:p>
    <w:p>
      <w:pPr>
        <w:pStyle w:val="18"/>
      </w:pPr>
    </w:p>
    <w:p>
      <w:pPr>
        <w:spacing w:line="540" w:lineRule="exact"/>
        <w:jc w:val="center"/>
        <w:rPr>
          <w:rFonts w:asciiTheme="minorEastAsia" w:hAnsiTheme="minorEastAsia" w:eastAsiaTheme="minorEastAsia" w:cstheme="minorEastAsia"/>
          <w:kern w:val="0"/>
          <w:sz w:val="32"/>
          <w:szCs w:val="32"/>
        </w:rPr>
      </w:pPr>
    </w:p>
    <w:p>
      <w:pPr>
        <w:spacing w:line="540" w:lineRule="exact"/>
        <w:jc w:val="center"/>
        <w:rPr>
          <w:rFonts w:asciiTheme="minorEastAsia" w:hAnsiTheme="minorEastAsia" w:eastAsiaTheme="minorEastAsia" w:cstheme="minorEastAsia"/>
          <w:kern w:val="0"/>
          <w:sz w:val="32"/>
          <w:szCs w:val="32"/>
        </w:rPr>
      </w:pPr>
    </w:p>
    <w:p>
      <w:pPr>
        <w:spacing w:line="540" w:lineRule="exact"/>
        <w:rPr>
          <w:rFonts w:asciiTheme="minorEastAsia" w:hAnsiTheme="minorEastAsia" w:eastAsiaTheme="minorEastAsia" w:cstheme="minorEastAsia"/>
          <w:kern w:val="0"/>
          <w:sz w:val="32"/>
          <w:szCs w:val="32"/>
        </w:rPr>
      </w:pPr>
    </w:p>
    <w:p>
      <w:pPr>
        <w:spacing w:line="700" w:lineRule="exact"/>
        <w:jc w:val="left"/>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w:t>
      </w:r>
    </w:p>
    <w:p>
      <w:pPr>
        <w:spacing w:line="700" w:lineRule="exact"/>
        <w:jc w:val="left"/>
        <w:rPr>
          <w:rFonts w:asciiTheme="minorEastAsia" w:hAnsiTheme="minorEastAsia" w:eastAsiaTheme="minorEastAsia" w:cstheme="minorEastAsia"/>
          <w:kern w:val="0"/>
          <w:sz w:val="32"/>
          <w:szCs w:val="32"/>
        </w:rPr>
      </w:pPr>
    </w:p>
    <w:p>
      <w:pPr>
        <w:spacing w:line="700" w:lineRule="exact"/>
        <w:jc w:val="left"/>
        <w:rPr>
          <w:rFonts w:hint="eastAsia" w:ascii="方正仿宋_GBK" w:hAnsi="方正仿宋_GBK" w:eastAsia="方正仿宋_GBK" w:cs="方正仿宋_GBK"/>
          <w:kern w:val="0"/>
          <w:sz w:val="36"/>
          <w:szCs w:val="36"/>
        </w:rPr>
      </w:pPr>
      <w:r>
        <w:rPr>
          <w:rFonts w:hint="eastAsia" w:asciiTheme="minorEastAsia" w:hAnsiTheme="minorEastAsia" w:eastAsiaTheme="minorEastAsia" w:cstheme="minorEastAsia"/>
          <w:kern w:val="0"/>
          <w:sz w:val="32"/>
          <w:szCs w:val="32"/>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6"/>
          <w:szCs w:val="36"/>
        </w:rPr>
        <w:t>项目名称：福彩</w:t>
      </w:r>
      <w:r>
        <w:rPr>
          <w:rFonts w:hint="eastAsia" w:ascii="方正仿宋_GBK" w:hAnsi="方正仿宋_GBK" w:eastAsia="方正仿宋_GBK" w:cs="方正仿宋_GBK"/>
          <w:kern w:val="0"/>
          <w:sz w:val="36"/>
          <w:szCs w:val="36"/>
          <w:lang w:val="en-US" w:eastAsia="zh-CN"/>
        </w:rPr>
        <w:t>彩票销售运行保障</w:t>
      </w:r>
      <w:r>
        <w:rPr>
          <w:rFonts w:hint="eastAsia" w:ascii="方正仿宋_GBK" w:hAnsi="方正仿宋_GBK" w:eastAsia="方正仿宋_GBK" w:cs="方正仿宋_GBK"/>
          <w:kern w:val="0"/>
          <w:sz w:val="36"/>
          <w:szCs w:val="36"/>
        </w:rPr>
        <w:t>项目</w:t>
      </w:r>
    </w:p>
    <w:p>
      <w:pPr>
        <w:spacing w:line="700" w:lineRule="exact"/>
        <w:jc w:val="left"/>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 xml:space="preserve">     实施单位（公章）：新疆福利彩票发行中心</w:t>
      </w:r>
    </w:p>
    <w:p>
      <w:pPr>
        <w:spacing w:line="700" w:lineRule="exact"/>
        <w:jc w:val="left"/>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 xml:space="preserve">     主管部门（公章）：自治区民政厅</w:t>
      </w:r>
    </w:p>
    <w:p>
      <w:pPr>
        <w:spacing w:line="700" w:lineRule="exact"/>
        <w:jc w:val="left"/>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 xml:space="preserve">     项目负责人（签章）：</w:t>
      </w:r>
      <w:r>
        <w:rPr>
          <w:rFonts w:hint="eastAsia" w:ascii="方正仿宋_GBK" w:hAnsi="方正仿宋_GBK" w:eastAsia="方正仿宋_GBK" w:cs="方正仿宋_GBK"/>
          <w:kern w:val="0"/>
          <w:sz w:val="36"/>
          <w:szCs w:val="36"/>
          <w:lang w:eastAsia="zh-CN"/>
        </w:rPr>
        <w:t>李永峰</w:t>
      </w:r>
    </w:p>
    <w:p>
      <w:pPr>
        <w:spacing w:line="700" w:lineRule="exact"/>
        <w:jc w:val="left"/>
        <w:rPr>
          <w:rFonts w:hint="eastAsia"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 xml:space="preserve">     填报时间：</w:t>
      </w:r>
      <w:r>
        <w:rPr>
          <w:rFonts w:hint="eastAsia" w:ascii="方正仿宋_GBK" w:hAnsi="方正仿宋_GBK" w:eastAsia="方正仿宋_GBK" w:cs="方正仿宋_GBK"/>
          <w:kern w:val="0"/>
          <w:sz w:val="36"/>
          <w:szCs w:val="36"/>
          <w:lang w:val="en-US" w:eastAsia="zh-CN"/>
        </w:rPr>
        <w:t xml:space="preserve">   </w:t>
      </w:r>
      <w:r>
        <w:rPr>
          <w:rFonts w:hint="eastAsia" w:ascii="方正仿宋_GBK" w:hAnsi="方正仿宋_GBK" w:eastAsia="方正仿宋_GBK" w:cs="方正仿宋_GBK"/>
          <w:kern w:val="0"/>
          <w:sz w:val="36"/>
          <w:szCs w:val="36"/>
        </w:rPr>
        <w:t>202</w:t>
      </w:r>
      <w:r>
        <w:rPr>
          <w:rFonts w:hint="eastAsia" w:ascii="方正仿宋_GBK" w:hAnsi="方正仿宋_GBK" w:eastAsia="方正仿宋_GBK" w:cs="方正仿宋_GBK"/>
          <w:kern w:val="0"/>
          <w:sz w:val="36"/>
          <w:szCs w:val="36"/>
          <w:lang w:val="en-US" w:eastAsia="zh-CN"/>
        </w:rPr>
        <w:t>3</w:t>
      </w:r>
      <w:r>
        <w:rPr>
          <w:rFonts w:hint="eastAsia" w:ascii="方正仿宋_GBK" w:hAnsi="方正仿宋_GBK" w:eastAsia="方正仿宋_GBK" w:cs="方正仿宋_GBK"/>
          <w:kern w:val="0"/>
          <w:sz w:val="36"/>
          <w:szCs w:val="36"/>
        </w:rPr>
        <w:t>年</w:t>
      </w:r>
      <w:r>
        <w:rPr>
          <w:rFonts w:hint="eastAsia" w:ascii="方正仿宋_GBK" w:hAnsi="方正仿宋_GBK" w:eastAsia="方正仿宋_GBK" w:cs="方正仿宋_GBK"/>
          <w:kern w:val="0"/>
          <w:sz w:val="36"/>
          <w:szCs w:val="36"/>
          <w:lang w:val="en-US" w:eastAsia="zh-CN"/>
        </w:rPr>
        <w:t>4月3</w:t>
      </w:r>
      <w:r>
        <w:rPr>
          <w:rFonts w:hint="eastAsia" w:ascii="方正仿宋_GBK" w:hAnsi="方正仿宋_GBK" w:eastAsia="方正仿宋_GBK" w:cs="方正仿宋_GBK"/>
          <w:kern w:val="0"/>
          <w:sz w:val="36"/>
          <w:szCs w:val="36"/>
        </w:rPr>
        <w:t>日</w:t>
      </w:r>
    </w:p>
    <w:p>
      <w:pPr>
        <w:spacing w:beforeLines="0" w:afterLines="0" w:line="660" w:lineRule="exact"/>
        <w:jc w:val="center"/>
        <w:rPr>
          <w:rFonts w:hint="eastAsia" w:ascii="方正小标宋_GBK" w:hAnsi="方正小标宋_GBK" w:eastAsia="方正小标宋_GBK" w:cs="方正小标宋_GBK"/>
          <w:b w:val="0"/>
          <w:bCs w:val="0"/>
          <w:sz w:val="44"/>
          <w:szCs w:val="44"/>
        </w:rPr>
      </w:pPr>
    </w:p>
    <w:p>
      <w:pPr>
        <w:spacing w:beforeLines="0" w:afterLines="0" w:line="6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福彩</w:t>
      </w:r>
      <w:r>
        <w:rPr>
          <w:rFonts w:hint="eastAsia" w:ascii="方正小标宋_GBK" w:hAnsi="方正小标宋_GBK" w:eastAsia="方正小标宋_GBK" w:cs="方正小标宋_GBK"/>
          <w:b w:val="0"/>
          <w:bCs w:val="0"/>
          <w:sz w:val="44"/>
          <w:szCs w:val="44"/>
          <w:lang w:val="en-US" w:eastAsia="zh-CN"/>
        </w:rPr>
        <w:t>彩票销售运行保障</w:t>
      </w:r>
      <w:r>
        <w:rPr>
          <w:rFonts w:hint="eastAsia" w:ascii="方正小标宋_GBK" w:hAnsi="方正小标宋_GBK" w:eastAsia="方正小标宋_GBK" w:cs="方正小标宋_GBK"/>
          <w:b w:val="0"/>
          <w:bCs w:val="0"/>
          <w:sz w:val="44"/>
          <w:szCs w:val="44"/>
        </w:rPr>
        <w:t>项目支出</w:t>
      </w:r>
    </w:p>
    <w:p>
      <w:pPr>
        <w:spacing w:beforeLines="0" w:afterLines="0" w:line="6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绩效评价报告</w:t>
      </w:r>
    </w:p>
    <w:p>
      <w:pPr>
        <w:jc w:val="center"/>
        <w:rPr>
          <w:rFonts w:hint="eastAsia" w:ascii="方正小标宋简体" w:hAnsi="方正小标宋简体" w:eastAsia="方正小标宋简体" w:cs="方正小标宋简体"/>
          <w:b/>
          <w:bCs/>
          <w:sz w:val="36"/>
          <w:szCs w:val="36"/>
        </w:rPr>
      </w:pPr>
    </w:p>
    <w:p>
      <w:pPr>
        <w:spacing w:beforeLines="0" w:afterLines="0" w:line="560" w:lineRule="exact"/>
        <w:ind w:firstLine="600" w:firstLineChars="200"/>
        <w:rPr>
          <w:rFonts w:ascii="黑体" w:hAnsi="黑体" w:eastAsia="黑体"/>
          <w:sz w:val="32"/>
          <w:szCs w:val="32"/>
        </w:rPr>
      </w:pPr>
      <w:r>
        <w:rPr>
          <w:rFonts w:hint="eastAsia" w:ascii="黑体" w:hAnsi="黑体" w:eastAsia="黑体"/>
          <w:sz w:val="32"/>
          <w:szCs w:val="32"/>
        </w:rPr>
        <w:t>一、基本情况</w:t>
      </w:r>
    </w:p>
    <w:p>
      <w:pPr>
        <w:spacing w:beforeLines="0" w:afterLines="0" w:line="560" w:lineRule="exact"/>
        <w:ind w:firstLine="643" w:firstLineChars="200"/>
        <w:outlineLvl w:val="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（一）项目概况</w:t>
      </w:r>
    </w:p>
    <w:p>
      <w:pPr>
        <w:spacing w:beforeLines="0" w:afterLines="0" w:line="560" w:lineRule="exact"/>
        <w:ind w:firstLine="602" w:firstLineChars="200"/>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项目背景</w:t>
      </w:r>
    </w:p>
    <w:p>
      <w:pPr>
        <w:keepNext w:val="0"/>
        <w:keepLines w:val="0"/>
        <w:pageBreakBefore w:val="0"/>
        <w:widowControl/>
        <w:kinsoku/>
        <w:wordWrap/>
        <w:overflowPunct/>
        <w:topLinePunct w:val="0"/>
        <w:autoSpaceDE/>
        <w:autoSpaceDN/>
        <w:bidi w:val="0"/>
        <w:adjustRightInd/>
        <w:snapToGrid/>
        <w:spacing w:beforeLines="0" w:beforeAutospacing="0" w:after="0" w:afterLines="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color w:val="auto"/>
          <w:sz w:val="32"/>
          <w:szCs w:val="32"/>
          <w:shd w:val="clear" w:color="auto" w:fill="auto"/>
          <w:lang w:val="en-US" w:eastAsia="zh-CN"/>
        </w:rPr>
      </w:pPr>
      <w:r>
        <w:rPr>
          <w:rStyle w:val="25"/>
          <w:rFonts w:hint="eastAsia" w:ascii="方正仿宋_GBK" w:hAnsi="方正仿宋_GBK" w:eastAsia="方正仿宋_GBK" w:cs="方正仿宋_GBK"/>
          <w:b w:val="0"/>
          <w:i w:val="0"/>
          <w:caps w:val="0"/>
          <w:spacing w:val="0"/>
          <w:w w:val="100"/>
          <w:kern w:val="2"/>
          <w:sz w:val="32"/>
          <w:szCs w:val="32"/>
          <w:lang w:val="en-US" w:eastAsia="zh-CN" w:bidi="ar-SA"/>
        </w:rPr>
        <w:t>2022年，自治区福彩中心在民政厅党组的坚强领导下，坚持以习近平新时代中国特色社会主义思想为指导，深入学习贯彻党的二十大精神</w:t>
      </w:r>
      <w:r>
        <w:rPr>
          <w:rFonts w:hint="eastAsia" w:ascii="方正仿宋_GBK" w:hAnsi="方正仿宋_GBK" w:eastAsia="方正仿宋_GBK" w:cs="方正仿宋_GBK"/>
          <w:sz w:val="32"/>
          <w:szCs w:val="32"/>
          <w:lang w:val="en-US" w:eastAsia="zh-CN"/>
        </w:rPr>
        <w:t>，始终坚持</w:t>
      </w:r>
      <w:r>
        <w:rPr>
          <w:rStyle w:val="25"/>
          <w:rFonts w:hint="eastAsia" w:ascii="方正仿宋_GBK" w:hAnsi="方正仿宋_GBK" w:eastAsia="方正仿宋_GBK" w:cs="方正仿宋_GBK"/>
          <w:b w:val="0"/>
          <w:i w:val="0"/>
          <w:caps w:val="0"/>
          <w:color w:val="auto"/>
          <w:spacing w:val="0"/>
          <w:w w:val="100"/>
          <w:kern w:val="2"/>
          <w:sz w:val="32"/>
          <w:szCs w:val="32"/>
          <w:lang w:val="en-US" w:eastAsia="zh-CN" w:bidi="ar-SA"/>
        </w:rPr>
        <w:t>“扶老、助残、救孤、济困”发行宗旨，在新疆境内组织销售福利彩票，建设和管理福利彩票销售网络，</w:t>
      </w:r>
      <w:r>
        <w:rPr>
          <w:rFonts w:hint="eastAsia" w:ascii="方正仿宋_GBK" w:hAnsi="方正仿宋_GBK" w:eastAsia="方正仿宋_GBK" w:cs="方正仿宋_GBK"/>
          <w:color w:val="auto"/>
          <w:sz w:val="32"/>
          <w:szCs w:val="32"/>
          <w:highlight w:val="none"/>
          <w:lang w:val="en-US" w:eastAsia="zh-CN"/>
        </w:rPr>
        <w:t>通过坚持不懈的努力和</w:t>
      </w:r>
      <w:r>
        <w:rPr>
          <w:rFonts w:hint="eastAsia" w:ascii="方正仿宋_GBK" w:hAnsi="方正仿宋_GBK" w:eastAsia="方正仿宋_GBK" w:cs="方正仿宋_GBK"/>
          <w:color w:val="auto"/>
          <w:sz w:val="32"/>
          <w:szCs w:val="32"/>
          <w:highlight w:val="none"/>
          <w:lang w:eastAsia="zh-CN"/>
        </w:rPr>
        <w:t>卓有成效的工作</w:t>
      </w:r>
      <w:r>
        <w:rPr>
          <w:rFonts w:hint="eastAsia" w:ascii="方正仿宋_GBK" w:hAnsi="方正仿宋_GBK" w:eastAsia="方正仿宋_GBK" w:cs="方正仿宋_GBK"/>
          <w:color w:val="auto"/>
          <w:sz w:val="32"/>
          <w:szCs w:val="32"/>
          <w:shd w:val="clear" w:color="auto" w:fill="auto"/>
          <w:lang w:val="en-US" w:eastAsia="zh-CN"/>
        </w:rPr>
        <w:t>。2022年销售目标任务为53亿，全年实际完成销售福利彩票</w:t>
      </w:r>
      <w:r>
        <w:rPr>
          <w:rFonts w:hint="eastAsia" w:ascii="方正仿宋_GBK" w:hAnsi="方正仿宋_GBK" w:eastAsia="方正仿宋_GBK" w:cs="方正仿宋_GBK"/>
          <w:sz w:val="32"/>
          <w:szCs w:val="32"/>
          <w:lang w:val="en-US" w:eastAsia="zh-CN"/>
        </w:rPr>
        <w:t>59.32</w:t>
      </w:r>
      <w:r>
        <w:rPr>
          <w:rFonts w:hint="eastAsia" w:ascii="方正仿宋_GBK" w:hAnsi="方正仿宋_GBK" w:eastAsia="方正仿宋_GBK" w:cs="方正仿宋_GBK"/>
          <w:color w:val="auto"/>
          <w:sz w:val="32"/>
          <w:szCs w:val="32"/>
          <w:shd w:val="clear" w:color="auto" w:fill="auto"/>
          <w:lang w:val="en-US" w:eastAsia="zh-CN"/>
        </w:rPr>
        <w:t>亿元，超额完成12%；筹集公益金</w:t>
      </w:r>
      <w:r>
        <w:rPr>
          <w:rFonts w:hint="eastAsia" w:ascii="方正仿宋_GBK" w:hAnsi="方正仿宋_GBK" w:eastAsia="方正仿宋_GBK" w:cs="方正仿宋_GBK"/>
          <w:sz w:val="32"/>
          <w:szCs w:val="32"/>
          <w:lang w:val="en-US" w:eastAsia="zh-CN"/>
        </w:rPr>
        <w:t>16.63</w:t>
      </w:r>
      <w:r>
        <w:rPr>
          <w:rFonts w:hint="eastAsia" w:ascii="方正仿宋_GBK" w:hAnsi="方正仿宋_GBK" w:eastAsia="方正仿宋_GBK" w:cs="方正仿宋_GBK"/>
          <w:color w:val="auto"/>
          <w:sz w:val="32"/>
          <w:szCs w:val="32"/>
          <w:shd w:val="clear" w:color="auto" w:fill="auto"/>
          <w:lang w:val="en-US" w:eastAsia="zh-CN"/>
        </w:rPr>
        <w:t>亿元，</w:t>
      </w:r>
      <w:r>
        <w:rPr>
          <w:rFonts w:hint="eastAsia" w:ascii="方正仿宋_GBK" w:hAnsi="方正仿宋_GBK" w:eastAsia="方正仿宋_GBK" w:cs="方正仿宋_GBK"/>
          <w:sz w:val="32"/>
          <w:szCs w:val="32"/>
        </w:rPr>
        <w:t>排名全国第</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shd w:val="clear" w:color="auto" w:fill="auto"/>
          <w:lang w:val="en-US" w:eastAsia="zh-CN"/>
        </w:rPr>
        <w:t>代扣代缴中奖所得税6,351.15万元。</w:t>
      </w:r>
    </w:p>
    <w:p>
      <w:pPr>
        <w:keepNext w:val="0"/>
        <w:keepLines w:val="0"/>
        <w:pageBreakBefore w:val="0"/>
        <w:widowControl/>
        <w:kinsoku/>
        <w:wordWrap/>
        <w:overflowPunct/>
        <w:topLinePunct w:val="0"/>
        <w:autoSpaceDE/>
        <w:autoSpaceDN/>
        <w:bidi w:val="0"/>
        <w:adjustRightInd/>
        <w:snapToGrid/>
        <w:spacing w:beforeLines="0" w:beforeAutospacing="0" w:after="0" w:afterLines="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项目主要内容及实施情况</w:t>
      </w:r>
    </w:p>
    <w:p>
      <w:pPr>
        <w:spacing w:beforeLines="0" w:afterLines="0" w:line="560" w:lineRule="exact"/>
        <w:jc w:val="both"/>
        <w:outlineLvl w:val="0"/>
        <w:rPr>
          <w:rFonts w:hint="eastAsia" w:ascii="方正仿宋_GBK" w:hAnsi="方正仿宋_GBK" w:eastAsia="方正仿宋_GBK" w:cs="方正仿宋_GBK"/>
          <w:b w:val="0"/>
          <w:bCs w:val="0"/>
          <w:color w:val="auto"/>
          <w:sz w:val="32"/>
          <w:szCs w:val="32"/>
          <w:highlight w:val="none"/>
          <w:lang w:val="en-US" w:eastAsia="zh-CN"/>
        </w:rPr>
      </w:pPr>
      <w:bookmarkStart w:id="1" w:name="OLE_LINK2"/>
      <w:r>
        <w:rPr>
          <w:rFonts w:hint="eastAsia" w:ascii="方正仿宋_GBK" w:hAnsi="方正仿宋_GBK" w:eastAsia="方正仿宋_GBK" w:cs="方正仿宋_GBK"/>
          <w:b/>
          <w:bCs/>
          <w:color w:val="auto"/>
          <w:sz w:val="32"/>
          <w:szCs w:val="32"/>
          <w:highlight w:val="none"/>
          <w:lang w:val="en-US" w:eastAsia="zh-CN"/>
        </w:rPr>
        <w:t xml:space="preserve">   （1）保障彩票销售技术系统建设、运营及维护</w:t>
      </w:r>
      <w:r>
        <w:rPr>
          <w:rFonts w:hint="eastAsia" w:ascii="方正仿宋_GBK" w:hAnsi="方正仿宋_GBK" w:eastAsia="方正仿宋_GBK" w:cs="方正仿宋_GBK"/>
          <w:b w:val="0"/>
          <w:bCs w:val="0"/>
          <w:color w:val="auto"/>
          <w:sz w:val="32"/>
          <w:szCs w:val="32"/>
          <w:highlight w:val="none"/>
          <w:lang w:val="en-US" w:eastAsia="zh-CN"/>
        </w:rPr>
        <w:t>。</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扎实稳妥做好</w:t>
      </w:r>
      <w:r>
        <w:rPr>
          <w:rFonts w:hint="eastAsia" w:ascii="方正仿宋_GBK" w:hAnsi="方正仿宋_GBK" w:eastAsia="方正仿宋_GBK" w:cs="方正仿宋_GBK"/>
          <w:b w:val="0"/>
          <w:bCs w:val="0"/>
          <w:color w:val="auto"/>
          <w:sz w:val="32"/>
          <w:szCs w:val="32"/>
          <w:highlight w:val="none"/>
          <w:lang w:val="en-US" w:eastAsia="zh-CN"/>
        </w:rPr>
        <w:t>彩票销售系统、运维管理系统、通讯网络及办公网络安全等保障工作，</w:t>
      </w:r>
      <w:r>
        <w:rPr>
          <w:rStyle w:val="25"/>
          <w:rFonts w:hint="eastAsia" w:ascii="方正仿宋_GBK" w:hAnsi="方正仿宋_GBK" w:eastAsia="方正仿宋_GBK" w:cs="方正仿宋_GBK"/>
          <w:b w:val="0"/>
          <w:bCs w:val="0"/>
          <w:i w:val="0"/>
          <w:caps w:val="0"/>
          <w:color w:val="auto"/>
          <w:spacing w:val="0"/>
          <w:w w:val="100"/>
          <w:kern w:val="2"/>
          <w:sz w:val="32"/>
          <w:szCs w:val="32"/>
          <w:highlight w:val="none"/>
          <w:lang w:val="en-US" w:eastAsia="zh-CN" w:bidi="ar-SA"/>
        </w:rPr>
        <w:t>确保全区彩票销售系统安全运行。</w:t>
      </w:r>
    </w:p>
    <w:p>
      <w:pPr>
        <w:spacing w:beforeLines="0" w:afterLines="0" w:line="560" w:lineRule="exact"/>
        <w:jc w:val="both"/>
        <w:outlineLvl w:val="0"/>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pPr>
      <w:r>
        <w:rPr>
          <w:rFonts w:hint="eastAsia" w:ascii="方正仿宋_GBK" w:hAnsi="方正仿宋_GBK" w:eastAsia="方正仿宋_GBK" w:cs="方正仿宋_GBK"/>
          <w:b/>
          <w:bCs/>
          <w:color w:val="auto"/>
          <w:sz w:val="32"/>
          <w:szCs w:val="32"/>
          <w:highlight w:val="none"/>
          <w:lang w:val="en-US" w:eastAsia="zh-CN"/>
        </w:rPr>
        <w:t xml:space="preserve">   （2）保障彩票销售渠道建设、管理及维护。</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巩固和拓展福利彩票销售基础，开展新建网点销售考核扶持工作，为符合条件的145个网点发放扶持资金</w:t>
      </w:r>
      <w:r>
        <w:rPr>
          <w:rFonts w:hint="eastAsia" w:ascii="方正仿宋_GBK" w:hAnsi="方正仿宋_GBK" w:eastAsia="方正仿宋_GBK" w:cs="方正仿宋_GBK"/>
          <w:b w:val="0"/>
          <w:bCs w:val="0"/>
          <w:color w:val="auto"/>
          <w:sz w:val="36"/>
          <w:szCs w:val="36"/>
          <w:highlight w:val="none"/>
          <w:shd w:val="clear" w:color="auto" w:fill="auto"/>
          <w:lang w:val="en-US" w:eastAsia="zh-CN"/>
        </w:rPr>
        <w:t>，</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保障了专营销售网点市场主导地位；布设即开票“集群”销售试点网点25个，展示柜用户由29万人增加到61万人，销量同比增长10%；向销售网点发放医用口罩297万个，支持销售网点防疫抗疫，共渡难关；开展“爱在福彩 助梦腾飞”关心关爱活动，资助 88 名新考入大学的一线销售员子女每人3,000元，强化从业者行业归属感。</w:t>
      </w:r>
    </w:p>
    <w:p>
      <w:pPr>
        <w:pStyle w:val="7"/>
        <w:keepNext w:val="0"/>
        <w:keepLines w:val="0"/>
        <w:pageBreakBefore w:val="0"/>
        <w:widowControl/>
        <w:kinsoku/>
        <w:wordWrap/>
        <w:overflowPunct/>
        <w:topLinePunct w:val="0"/>
        <w:autoSpaceDE/>
        <w:autoSpaceDN/>
        <w:bidi w:val="0"/>
        <w:snapToGrid w:val="0"/>
        <w:spacing w:beforeLines="0" w:after="0" w:afterLines="0" w:line="56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   （3）保障</w:t>
      </w:r>
      <w:r>
        <w:rPr>
          <w:rFonts w:hint="eastAsia" w:ascii="方正仿宋_GBK" w:hAnsi="方正仿宋_GBK" w:eastAsia="方正仿宋_GBK" w:cs="方正仿宋_GBK"/>
          <w:b/>
          <w:bCs/>
          <w:color w:val="auto"/>
          <w:sz w:val="32"/>
          <w:szCs w:val="32"/>
          <w:highlight w:val="none"/>
          <w:lang w:eastAsia="zh-CN"/>
        </w:rPr>
        <w:t>彩票市场开发、管理及推广。一是</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优化游戏结构、合理开展营销活动</w:t>
      </w:r>
      <w:r>
        <w:rPr>
          <w:rFonts w:hint="eastAsia" w:ascii="方正仿宋_GBK" w:hAnsi="方正仿宋_GBK" w:eastAsia="方正仿宋_GBK" w:cs="方正仿宋_GBK"/>
          <w:b w:val="0"/>
          <w:bCs w:val="0"/>
          <w:sz w:val="36"/>
          <w:szCs w:val="36"/>
          <w:lang w:val="en-US" w:eastAsia="zh-CN"/>
        </w:rPr>
        <w:t>。</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游戏结构优化成果持续巩固，销量结构更加科学合理。开展快乐8游戏营销活动</w:t>
      </w:r>
      <w:r>
        <w:rPr>
          <w:rFonts w:hint="eastAsia" w:ascii="方正仿宋_GBK" w:hAnsi="方正仿宋_GBK" w:eastAsia="方正仿宋_GBK" w:cs="方正仿宋_GBK"/>
          <w:sz w:val="36"/>
          <w:szCs w:val="36"/>
          <w:lang w:val="en-US" w:eastAsia="zh-CN"/>
        </w:rPr>
        <w:t>，</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实现“增幅70%和单机1600元”双目标，快乐8游戏全年销售11.23亿元，期均销量1,301元，排全国第一；开展3D和双色球派奖活动，3D游戏日销量由240万元提升至400万元，3D全年销售14.02亿元，同比增幅74.6%，双色球游戏全年销售9.67亿元，销量占比为16.31%；开展即开票“丝路明珠·赛里木湖”地方特色票回馈彩民活动，全年即开票累计销售24.2亿元，同比增幅18%，</w:t>
      </w:r>
      <w:r>
        <w:rPr>
          <w:rFonts w:hint="eastAsia" w:ascii="方正仿宋_GBK" w:hAnsi="方正仿宋_GBK" w:eastAsia="方正仿宋_GBK" w:cs="方正仿宋_GBK"/>
          <w:b/>
          <w:bCs/>
          <w:color w:val="auto"/>
          <w:sz w:val="32"/>
          <w:szCs w:val="32"/>
          <w:highlight w:val="none"/>
          <w:lang w:val="en-US" w:eastAsia="zh-CN"/>
        </w:rPr>
        <w:t>二是</w:t>
      </w:r>
      <w:r>
        <w:rPr>
          <w:rFonts w:hint="eastAsia" w:ascii="方正仿宋_GBK" w:hAnsi="方正仿宋_GBK" w:eastAsia="方正仿宋_GBK" w:cs="方正仿宋_GBK"/>
          <w:b w:val="0"/>
          <w:bCs w:val="0"/>
          <w:color w:val="auto"/>
          <w:sz w:val="32"/>
          <w:szCs w:val="32"/>
          <w:highlight w:val="none"/>
          <w:lang w:val="en-US" w:eastAsia="zh-CN"/>
        </w:rPr>
        <w:t>保障即开票</w:t>
      </w:r>
      <w:r>
        <w:rPr>
          <w:rFonts w:hint="eastAsia" w:ascii="方正仿宋_GBK" w:hAnsi="方正仿宋_GBK" w:eastAsia="方正仿宋_GBK" w:cs="方正仿宋_GBK"/>
          <w:b w:val="0"/>
          <w:bCs w:val="0"/>
          <w:sz w:val="32"/>
          <w:szCs w:val="32"/>
          <w:highlight w:val="none"/>
          <w:lang w:val="en-US" w:eastAsia="zh-CN"/>
        </w:rPr>
        <w:t>调拨配送零差错，确保安全生产工作落到实处，</w:t>
      </w:r>
      <w:r>
        <w:rPr>
          <w:rFonts w:hint="eastAsia" w:ascii="方正仿宋_GBK" w:hAnsi="方正仿宋_GBK" w:eastAsia="方正仿宋_GBK" w:cs="方正仿宋_GBK"/>
          <w:sz w:val="32"/>
          <w:szCs w:val="32"/>
          <w:highlight w:val="none"/>
          <w:lang w:val="en-US" w:eastAsia="zh-CN"/>
        </w:rPr>
        <w:t>全年共申领即开票23.57亿元，调拨配送全疆即开票665批次。</w:t>
      </w:r>
      <w:r>
        <w:rPr>
          <w:rFonts w:hint="eastAsia" w:ascii="方正仿宋_GBK" w:hAnsi="方正仿宋_GBK" w:eastAsia="方正仿宋_GBK" w:cs="方正仿宋_GBK"/>
          <w:b/>
          <w:bCs/>
          <w:color w:val="auto"/>
          <w:sz w:val="32"/>
          <w:szCs w:val="32"/>
          <w:highlight w:val="none"/>
          <w:lang w:val="en-US" w:eastAsia="zh-CN"/>
        </w:rPr>
        <w:t>三是</w:t>
      </w:r>
      <w:r>
        <w:rPr>
          <w:rFonts w:hint="eastAsia" w:ascii="方正仿宋_GBK" w:hAnsi="方正仿宋_GBK" w:eastAsia="方正仿宋_GBK" w:cs="方正仿宋_GBK"/>
          <w:b w:val="0"/>
          <w:bCs w:val="0"/>
          <w:color w:val="auto"/>
          <w:sz w:val="32"/>
          <w:szCs w:val="32"/>
          <w:highlight w:val="none"/>
          <w:lang w:val="en-US" w:eastAsia="zh-CN"/>
        </w:rPr>
        <w:t>弘扬福彩公益和文化，加大宣传力度。“新疆福彩”官方抖音账号累计发布视频233条，单条视频最高浏览量49.7万次，增长率达到36%；发挥合作媒体宣传优势，利用网易新闻、搜狐新闻APP等媒体用户量大，覆盖面广的特点，设立福彩信息专题，全年共计发布各类福彩信息335条，有效扩大福彩品牌影响力。</w:t>
      </w:r>
      <w:r>
        <w:rPr>
          <w:rFonts w:hint="eastAsia" w:ascii="方正仿宋_GBK" w:hAnsi="方正仿宋_GBK" w:eastAsia="方正仿宋_GBK" w:cs="方正仿宋_GBK"/>
          <w:b/>
          <w:bCs/>
          <w:color w:val="auto"/>
          <w:sz w:val="32"/>
          <w:szCs w:val="32"/>
          <w:highlight w:val="none"/>
          <w:lang w:val="en-US" w:eastAsia="zh-CN"/>
        </w:rPr>
        <w:t>四是</w:t>
      </w:r>
      <w:r>
        <w:rPr>
          <w:rFonts w:hint="eastAsia" w:ascii="方正仿宋_GBK" w:hAnsi="方正仿宋_GBK" w:eastAsia="方正仿宋_GBK" w:cs="方正仿宋_GBK"/>
          <w:b w:val="0"/>
          <w:bCs w:val="0"/>
          <w:color w:val="auto"/>
          <w:sz w:val="32"/>
          <w:szCs w:val="32"/>
          <w:highlight w:val="none"/>
          <w:lang w:val="en-US" w:eastAsia="zh-CN"/>
        </w:rPr>
        <w:t>开展个性化营销活动，提高宣传推广力度。采购保温杯、雨伞、抽纸等营销宣传品，用于各地福彩中心指导销售网点，帮助销售网点开展自主营销活动，减轻销售网点销售压力，不断提升销售网点自主营销能力，扩大彩民群体，提高福彩品牌宣传力度，进一步促进销量稳步增长。</w:t>
      </w:r>
    </w:p>
    <w:bookmarkEnd w:id="1"/>
    <w:p>
      <w:pPr>
        <w:spacing w:beforeLines="0" w:afterLines="0" w:line="560" w:lineRule="exact"/>
        <w:jc w:val="both"/>
        <w:outlineLvl w:val="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按照《彩票管理条例》和《彩票机构财务管理办法》的规定，截止2022年底</w:t>
      </w:r>
      <w:r>
        <w:rPr>
          <w:rFonts w:hint="eastAsia" w:ascii="方正仿宋_GBK" w:hAnsi="方正仿宋_GBK" w:eastAsia="方正仿宋_GBK" w:cs="方正仿宋_GBK"/>
          <w:b w:val="0"/>
          <w:bCs w:val="0"/>
          <w:color w:val="0070C0"/>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上述项目支出已如期完成。</w:t>
      </w:r>
    </w:p>
    <w:p>
      <w:pPr>
        <w:spacing w:beforeLines="0" w:afterLines="0" w:line="560" w:lineRule="exact"/>
        <w:ind w:firstLine="602" w:firstLineChars="200"/>
        <w:outlineLvl w:val="0"/>
        <w:rPr>
          <w:rFonts w:hint="eastAsia" w:ascii="方正仿宋_GBK" w:hAnsi="方正仿宋_GBK" w:eastAsia="方正仿宋_GBK" w:cs="方正仿宋_GBK"/>
          <w:b/>
          <w:bCs/>
          <w:color w:val="auto"/>
          <w:lang w:eastAsia="zh-CN"/>
        </w:rPr>
      </w:pPr>
      <w:r>
        <w:rPr>
          <w:rFonts w:hint="eastAsia" w:ascii="方正仿宋_GBK" w:hAnsi="方正仿宋_GBK" w:eastAsia="方正仿宋_GBK" w:cs="方正仿宋_GBK"/>
          <w:b/>
          <w:bCs/>
          <w:color w:val="auto"/>
          <w:lang w:eastAsia="zh-CN"/>
        </w:rPr>
        <w:t>3.资金投入和使用情况</w:t>
      </w:r>
    </w:p>
    <w:p>
      <w:pPr>
        <w:spacing w:beforeLines="0" w:afterLines="0" w:line="560" w:lineRule="exact"/>
        <w:ind w:firstLine="640" w:firstLineChars="200"/>
        <w:jc w:val="both"/>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（1）资金投入情况</w:t>
      </w:r>
    </w:p>
    <w:p>
      <w:pPr>
        <w:spacing w:beforeLines="0" w:afterLines="0" w:line="560" w:lineRule="exact"/>
        <w:ind w:firstLine="640" w:firstLineChars="200"/>
        <w:jc w:val="both"/>
        <w:outlineLvl w:val="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该项目年初预算数7,850.9万元，实际总投入7,850.9万元，项目资金到位率100%</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b w:val="0"/>
          <w:bCs w:val="0"/>
          <w:color w:val="auto"/>
          <w:sz w:val="32"/>
          <w:szCs w:val="32"/>
          <w:highlight w:val="none"/>
          <w:lang w:val="en-US" w:eastAsia="zh-CN"/>
        </w:rPr>
        <w:t>资金来源为政府性基金预算。</w:t>
      </w:r>
    </w:p>
    <w:p>
      <w:pPr>
        <w:numPr>
          <w:ilvl w:val="0"/>
          <w:numId w:val="1"/>
        </w:numPr>
        <w:spacing w:beforeLines="0" w:afterLines="0" w:line="560" w:lineRule="exact"/>
        <w:ind w:firstLine="640" w:firstLineChars="200"/>
        <w:jc w:val="both"/>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资金使用情况</w:t>
      </w:r>
    </w:p>
    <w:p>
      <w:pPr>
        <w:numPr>
          <w:ilvl w:val="0"/>
          <w:numId w:val="0"/>
        </w:numPr>
        <w:spacing w:beforeLines="0" w:afterLines="0" w:line="560" w:lineRule="exact"/>
        <w:jc w:val="both"/>
        <w:outlineLvl w:val="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该项目年初预算数7,850.9万元，全年预算数7,850.9万元，实际执行7,453.02万元，预算执行率为94.93%</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b w:val="0"/>
          <w:bCs w:val="0"/>
          <w:color w:val="auto"/>
          <w:sz w:val="32"/>
          <w:szCs w:val="32"/>
          <w:highlight w:val="none"/>
          <w:lang w:val="en-US" w:eastAsia="zh-CN"/>
        </w:rPr>
        <w:t>截止2022年底，因疫情影响结转预算资金271.76万元，结余预算资金126.12万元。资金支出主要用于：1.保障彩票销售技术系统建设、运营及维护 1,127.69万元；2.彩票销售渠道建设、管理及维护429.63万元；3.</w:t>
      </w:r>
      <w:r>
        <w:rPr>
          <w:rFonts w:hint="eastAsia" w:ascii="方正仿宋_GBK" w:hAnsi="方正仿宋_GBK" w:eastAsia="方正仿宋_GBK" w:cs="方正仿宋_GBK"/>
          <w:b w:val="0"/>
          <w:bCs w:val="0"/>
          <w:color w:val="auto"/>
          <w:sz w:val="32"/>
          <w:szCs w:val="32"/>
          <w:highlight w:val="none"/>
          <w:lang w:eastAsia="zh-CN"/>
        </w:rPr>
        <w:t>彩票市场开发、管理及推广，拓展宣传渠道</w:t>
      </w:r>
      <w:r>
        <w:rPr>
          <w:rFonts w:hint="eastAsia" w:ascii="方正仿宋_GBK" w:hAnsi="方正仿宋_GBK" w:eastAsia="方正仿宋_GBK" w:cs="方正仿宋_GBK"/>
          <w:b w:val="0"/>
          <w:bCs w:val="0"/>
          <w:color w:val="auto"/>
          <w:sz w:val="32"/>
          <w:szCs w:val="32"/>
          <w:highlight w:val="none"/>
          <w:lang w:val="en-US" w:eastAsia="zh-CN"/>
        </w:rPr>
        <w:t>5,895.7万元。</w:t>
      </w:r>
    </w:p>
    <w:p>
      <w:pPr>
        <w:spacing w:beforeLines="0" w:afterLines="0" w:line="560" w:lineRule="exact"/>
        <w:ind w:firstLine="602" w:firstLineChars="200"/>
        <w:outlineLvl w:val="0"/>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（二）项目绩效目标</w:t>
      </w:r>
    </w:p>
    <w:p>
      <w:pPr>
        <w:spacing w:beforeLines="0" w:afterLines="0" w:line="560" w:lineRule="exact"/>
        <w:ind w:firstLine="602" w:firstLineChars="200"/>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bCs/>
          <w:color w:val="auto"/>
          <w:sz w:val="32"/>
          <w:szCs w:val="32"/>
        </w:rPr>
        <w:t>总体目标</w:t>
      </w:r>
    </w:p>
    <w:p>
      <w:pPr>
        <w:spacing w:beforeLines="0" w:afterLines="0" w:line="560" w:lineRule="exact"/>
        <w:ind w:firstLine="640" w:firstLineChars="200"/>
        <w:outlineLvl w:val="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彩票管理条例》和《彩票机构财务管理办法》的规定，2022年度彩票销售管理项目支出总体绩效目标为：建设和管理全疆福利彩票销售网络，保障福利彩票销售系统的安全稳定运行，确保全疆福利彩票销售业务的正常开展，落实全疆福彩彩票市场营销、宣传、推广，完成2022年全疆福利彩票销售目标任务和公益金筹集任务。</w:t>
      </w:r>
    </w:p>
    <w:p>
      <w:pPr>
        <w:spacing w:beforeLines="0" w:afterLines="0" w:line="560" w:lineRule="exact"/>
        <w:ind w:firstLine="602" w:firstLineChars="200"/>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阶段性目标</w:t>
      </w:r>
    </w:p>
    <w:p>
      <w:pPr>
        <w:spacing w:beforeLines="0" w:afterLines="0" w:line="560" w:lineRule="exact"/>
        <w:ind w:firstLine="640" w:firstLineChars="200"/>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（1）前期准备</w:t>
      </w:r>
    </w:p>
    <w:p>
      <w:pPr>
        <w:spacing w:beforeLines="0" w:afterLines="0" w:line="560" w:lineRule="exact"/>
        <w:ind w:firstLine="640" w:firstLineChars="200"/>
        <w:outlineLvl w:val="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我中心围绕项目支出总体目标，根据2022年度销售工作任务和重点工作，将</w:t>
      </w:r>
      <w:r>
        <w:rPr>
          <w:rFonts w:hint="eastAsia" w:ascii="方正仿宋_GBK" w:hAnsi="方正仿宋_GBK" w:eastAsia="方正仿宋_GBK" w:cs="方正仿宋_GBK"/>
          <w:b w:val="0"/>
          <w:bCs w:val="0"/>
          <w:color w:val="auto"/>
          <w:sz w:val="32"/>
          <w:szCs w:val="32"/>
          <w:lang w:val="en-US" w:eastAsia="zh-CN"/>
        </w:rPr>
        <w:t>项目支出资金分解到相关业务部门，由部门分别制定项目支出资金绩效目标，明确工作责任。</w:t>
      </w:r>
    </w:p>
    <w:p>
      <w:pPr>
        <w:numPr>
          <w:ilvl w:val="0"/>
          <w:numId w:val="2"/>
        </w:numPr>
        <w:spacing w:beforeLines="0" w:afterLines="0" w:line="560" w:lineRule="exact"/>
        <w:ind w:firstLine="640" w:firstLineChars="200"/>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组织实</w:t>
      </w:r>
      <w:r>
        <w:rPr>
          <w:rFonts w:hint="eastAsia" w:ascii="方正仿宋_GBK" w:hAnsi="方正仿宋_GBK" w:eastAsia="方正仿宋_GBK" w:cs="方正仿宋_GBK"/>
          <w:b/>
          <w:bCs/>
          <w:sz w:val="32"/>
          <w:szCs w:val="32"/>
          <w:highlight w:val="none"/>
          <w:lang w:val="en-US" w:eastAsia="zh-CN"/>
        </w:rPr>
        <w:t>施</w:t>
      </w:r>
    </w:p>
    <w:p>
      <w:pPr>
        <w:numPr>
          <w:ilvl w:val="0"/>
          <w:numId w:val="0"/>
        </w:numPr>
        <w:spacing w:beforeLines="0" w:afterLines="0" w:line="560" w:lineRule="exact"/>
        <w:outlineLvl w:val="0"/>
        <w:rPr>
          <w:rFonts w:hint="eastAsia" w:ascii="方正仿宋_GBK" w:hAnsi="方正仿宋_GBK" w:eastAsia="方正仿宋_GBK" w:cs="方正仿宋_GBK"/>
          <w:color w:val="0000FF"/>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项目支出资金执行部门制定本部门项目资金支出计划及具体项目实施方案，明确完成时间和具体责任人，按照工作规范全流程做好具体实施工作，并进行</w:t>
      </w:r>
      <w:r>
        <w:rPr>
          <w:rFonts w:hint="eastAsia" w:ascii="方正仿宋_GBK" w:hAnsi="方正仿宋_GBK" w:eastAsia="方正仿宋_GBK" w:cs="方正仿宋_GBK"/>
          <w:b w:val="0"/>
          <w:bCs w:val="0"/>
          <w:sz w:val="32"/>
          <w:szCs w:val="32"/>
          <w:lang w:val="en-US" w:eastAsia="zh-CN"/>
        </w:rPr>
        <w:t>绩效自评。</w:t>
      </w:r>
    </w:p>
    <w:p>
      <w:pPr>
        <w:spacing w:beforeLines="0" w:afterLines="0" w:line="560" w:lineRule="exact"/>
        <w:ind w:firstLine="600" w:firstLineChars="200"/>
        <w:rPr>
          <w:rFonts w:ascii="黑体" w:hAnsi="黑体" w:eastAsia="黑体"/>
          <w:highlight w:val="none"/>
        </w:rPr>
      </w:pPr>
      <w:r>
        <w:rPr>
          <w:rFonts w:hint="eastAsia" w:ascii="黑体" w:hAnsi="黑体" w:eastAsia="黑体"/>
          <w:highlight w:val="none"/>
        </w:rPr>
        <w:t>二、绩效评价工作开展情况</w:t>
      </w:r>
    </w:p>
    <w:p>
      <w:pPr>
        <w:spacing w:beforeLines="0" w:afterLines="0" w:line="560" w:lineRule="exact"/>
        <w:ind w:firstLine="643" w:firstLineChars="200"/>
        <w:outlineLvl w:val="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（一）绩效评价目的、对象和范围</w:t>
      </w:r>
    </w:p>
    <w:p>
      <w:pPr>
        <w:spacing w:beforeLines="0" w:afterLines="0" w:line="560" w:lineRule="exact"/>
        <w:ind w:firstLine="643" w:firstLineChars="200"/>
        <w:outlineLvl w:val="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1.绩效评价目的</w:t>
      </w:r>
    </w:p>
    <w:p>
      <w:pPr>
        <w:spacing w:beforeLines="0" w:afterLines="0" w:line="560" w:lineRule="exact"/>
        <w:ind w:firstLine="640" w:firstLineChars="200"/>
        <w:outlineLvl w:val="0"/>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pP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通过绩效评价，客观地评判项目的管理绩效，了解和掌握2022年彩票销售管理项目资金运用的具体情况，评价该项目资金安排的科学性、合理性、规范性和资金的使用成效，及时总结项目管理经验，完善项目管理办法，提高项目管理水平和资金使用效益。促使项目承担单位根据绩效评价中发现的问题，认真加以整改，及时调整和完善单位的工作计划和绩效目标并加强项目管理，提高管理水平，同时为项目后续资金投入、分配和管理提供决策依据。</w:t>
      </w:r>
    </w:p>
    <w:p>
      <w:pPr>
        <w:numPr>
          <w:ilvl w:val="0"/>
          <w:numId w:val="0"/>
        </w:numPr>
        <w:spacing w:beforeLines="0" w:afterLines="0" w:line="560" w:lineRule="exact"/>
        <w:outlineLvl w:val="0"/>
        <w:rPr>
          <w:rFonts w:hint="eastAsia" w:ascii="方正仿宋_GBK" w:hAnsi="方正仿宋_GBK" w:eastAsia="方正仿宋_GBK" w:cs="方正仿宋_GBK"/>
          <w:b/>
          <w:bCs/>
          <w:sz w:val="32"/>
          <w:szCs w:val="32"/>
          <w:highlight w:val="none"/>
          <w:lang w:val="en-US" w:eastAsia="zh-CN"/>
        </w:rPr>
      </w:pPr>
      <w:r>
        <w:rPr>
          <w:rFonts w:hint="eastAsia" w:ascii="Times New Roman" w:hAnsi="Times New Roman" w:cs="Times New Roman"/>
          <w:b/>
          <w:bCs/>
          <w:highlight w:val="none"/>
          <w:lang w:val="en-US" w:eastAsia="zh-CN"/>
        </w:rPr>
        <w:t xml:space="preserve">   </w:t>
      </w:r>
      <w:r>
        <w:rPr>
          <w:rFonts w:hint="eastAsia" w:ascii="方正仿宋_GBK" w:hAnsi="方正仿宋_GBK" w:eastAsia="方正仿宋_GBK" w:cs="方正仿宋_GBK"/>
          <w:b/>
          <w:bCs/>
          <w:sz w:val="32"/>
          <w:szCs w:val="32"/>
          <w:highlight w:val="none"/>
          <w:lang w:val="en-US" w:eastAsia="zh-CN"/>
        </w:rPr>
        <w:t xml:space="preserve"> 2.绩效评价的对象</w:t>
      </w:r>
    </w:p>
    <w:p>
      <w:pPr>
        <w:spacing w:beforeLines="0" w:afterLines="0" w:line="560" w:lineRule="exact"/>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 xml:space="preserve">   </w:t>
      </w:r>
      <w:r>
        <w:rPr>
          <w:rFonts w:hint="eastAsia" w:ascii="方正仿宋_GBK" w:hAnsi="方正仿宋_GBK" w:eastAsia="方正仿宋_GBK" w:cs="方正仿宋_GBK"/>
          <w:spacing w:val="6"/>
          <w:sz w:val="32"/>
          <w:szCs w:val="32"/>
        </w:rPr>
        <w:t>此次绩效评价的对象为</w:t>
      </w:r>
      <w:r>
        <w:rPr>
          <w:rFonts w:hint="eastAsia" w:ascii="方正仿宋_GBK" w:hAnsi="方正仿宋_GBK" w:eastAsia="方正仿宋_GBK" w:cs="方正仿宋_GBK"/>
          <w:spacing w:val="6"/>
          <w:sz w:val="32"/>
          <w:szCs w:val="32"/>
          <w:lang w:val="en-US" w:eastAsia="zh-CN"/>
        </w:rPr>
        <w:t>彩票销售运行保障</w:t>
      </w:r>
      <w:r>
        <w:rPr>
          <w:rFonts w:hint="eastAsia" w:ascii="方正仿宋_GBK" w:hAnsi="方正仿宋_GBK" w:eastAsia="方正仿宋_GBK" w:cs="方正仿宋_GBK"/>
          <w:spacing w:val="6"/>
          <w:sz w:val="32"/>
          <w:szCs w:val="32"/>
        </w:rPr>
        <w:t>项目</w:t>
      </w:r>
      <w:r>
        <w:rPr>
          <w:rFonts w:hint="eastAsia" w:ascii="方正仿宋_GBK" w:hAnsi="方正仿宋_GBK" w:eastAsia="方正仿宋_GBK" w:cs="方正仿宋_GBK"/>
          <w:spacing w:val="6"/>
          <w:sz w:val="32"/>
          <w:szCs w:val="32"/>
          <w:lang w:eastAsia="zh-CN"/>
        </w:rPr>
        <w:t>。</w:t>
      </w:r>
    </w:p>
    <w:p>
      <w:pPr>
        <w:numPr>
          <w:ilvl w:val="0"/>
          <w:numId w:val="0"/>
        </w:numPr>
        <w:spacing w:beforeLines="0" w:afterLines="0" w:line="560" w:lineRule="exact"/>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 xml:space="preserve">    3.绩效评价的范围</w:t>
      </w:r>
    </w:p>
    <w:p>
      <w:pPr>
        <w:numPr>
          <w:ilvl w:val="0"/>
          <w:numId w:val="0"/>
        </w:numPr>
        <w:spacing w:beforeLines="0" w:afterLines="0" w:line="560" w:lineRule="exact"/>
        <w:outlineLvl w:val="0"/>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pPr>
      <w:r>
        <w:rPr>
          <w:rFonts w:hint="eastAsia" w:ascii="方正仿宋_GBK" w:hAnsi="方正仿宋_GBK" w:eastAsia="方正仿宋_GBK" w:cs="方正仿宋_GBK"/>
          <w:spacing w:val="6"/>
          <w:sz w:val="32"/>
          <w:szCs w:val="32"/>
          <w:lang w:val="en-US" w:eastAsia="zh-CN"/>
        </w:rPr>
        <w:t xml:space="preserve">  </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 xml:space="preserve"> 主要评价2022年度自治区福利彩票销售管理项目支出</w:t>
      </w:r>
      <w:r>
        <w:rPr>
          <w:rFonts w:hint="eastAsia" w:ascii="方正仿宋_GBK" w:hAnsi="方正仿宋_GBK" w:eastAsia="方正仿宋_GBK" w:cs="方正仿宋_GBK"/>
          <w:b w:val="0"/>
          <w:bCs w:val="0"/>
          <w:color w:val="auto"/>
          <w:sz w:val="32"/>
          <w:szCs w:val="32"/>
          <w:highlight w:val="none"/>
          <w:lang w:val="en-US" w:eastAsia="zh-CN"/>
        </w:rPr>
        <w:t>7,850.9</w:t>
      </w:r>
      <w:r>
        <w:rPr>
          <w:rStyle w:val="25"/>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万元资金收支安排、资金使用和绩效管理情况。</w:t>
      </w:r>
    </w:p>
    <w:p>
      <w:pPr>
        <w:spacing w:beforeLines="0" w:afterLines="0" w:line="560" w:lineRule="exact"/>
        <w:ind w:firstLine="643" w:firstLineChars="200"/>
        <w:rPr>
          <w:rFonts w:hint="eastAsia" w:ascii="方正楷体_GBK" w:hAnsi="方正楷体_GBK" w:eastAsia="方正楷体_GBK" w:cs="方正楷体_GBK"/>
        </w:rPr>
      </w:pPr>
      <w:r>
        <w:rPr>
          <w:rFonts w:hint="eastAsia" w:ascii="方正楷体_GBK" w:hAnsi="方正楷体_GBK" w:eastAsia="方正楷体_GBK" w:cs="方正楷体_GBK"/>
          <w:b/>
          <w:bCs/>
          <w:sz w:val="32"/>
          <w:szCs w:val="32"/>
        </w:rPr>
        <w:t>（二）绩效评价原则、评价指标体系（详情见表1）、评价方法、评价标准。</w:t>
      </w:r>
    </w:p>
    <w:p>
      <w:pPr>
        <w:spacing w:beforeLines="0" w:afterLines="0" w:line="560" w:lineRule="exact"/>
        <w:ind w:firstLine="602" w:firstLineChars="200"/>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1.绩效评价原则</w:t>
      </w:r>
    </w:p>
    <w:p>
      <w:pPr>
        <w:pStyle w:val="2"/>
        <w:spacing w:before="0" w:beforeLines="0" w:after="0" w:afterLines="0" w:line="560" w:lineRule="exact"/>
        <w:ind w:firstLine="640" w:firstLineChars="200"/>
        <w:jc w:val="both"/>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（1）科学公正。</w:t>
      </w:r>
      <w:r>
        <w:rPr>
          <w:rFonts w:hint="eastAsia" w:ascii="方正仿宋_GBK" w:hAnsi="方正仿宋_GBK" w:eastAsia="方正仿宋_GBK" w:cs="方正仿宋_GBK"/>
          <w:b w:val="0"/>
          <w:bCs w:val="0"/>
          <w:sz w:val="32"/>
          <w:szCs w:val="32"/>
        </w:rPr>
        <w:t>绩效评价应当运用科学合理的方法，按照规范的程序，对项目绩效进行客观、公正的反映。</w:t>
      </w:r>
    </w:p>
    <w:p>
      <w:pPr>
        <w:pStyle w:val="2"/>
        <w:spacing w:before="0" w:beforeLines="0" w:after="0" w:afterLines="0" w:line="560" w:lineRule="exact"/>
        <w:ind w:firstLine="640" w:firstLineChars="200"/>
        <w:jc w:val="both"/>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）公开透明。</w:t>
      </w:r>
      <w:r>
        <w:rPr>
          <w:rFonts w:hint="eastAsia" w:ascii="方正仿宋_GBK" w:hAnsi="方正仿宋_GBK" w:eastAsia="方正仿宋_GBK" w:cs="方正仿宋_GBK"/>
          <w:b w:val="0"/>
          <w:bCs w:val="0"/>
          <w:sz w:val="32"/>
          <w:szCs w:val="32"/>
        </w:rPr>
        <w:t>绩效评价结果应依法依规公开，并自觉接受社会监督。</w:t>
      </w:r>
    </w:p>
    <w:p>
      <w:pPr>
        <w:numPr>
          <w:ilvl w:val="0"/>
          <w:numId w:val="0"/>
        </w:numPr>
        <w:spacing w:beforeLines="0" w:afterLines="0" w:line="560" w:lineRule="exact"/>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 xml:space="preserve">    2.评价指标体系</w:t>
      </w:r>
    </w:p>
    <w:p>
      <w:pPr>
        <w:spacing w:beforeLines="0" w:afterLines="0" w:line="560" w:lineRule="exact"/>
        <w:ind w:firstLine="600" w:firstLineChars="200"/>
        <w:rPr>
          <w:rFonts w:hint="eastAsia" w:ascii="方正仿宋_GBK" w:hAnsi="方正仿宋_GBK" w:eastAsia="方正仿宋_GBK" w:cs="方正仿宋_GBK"/>
          <w:color w:val="000000"/>
          <w:spacing w:val="17"/>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color w:val="000000"/>
          <w:spacing w:val="17"/>
          <w:sz w:val="32"/>
          <w:szCs w:val="32"/>
        </w:rPr>
        <w:t>（1）确定评价指标</w:t>
      </w:r>
      <w:r>
        <w:rPr>
          <w:rFonts w:hint="eastAsia" w:ascii="方正仿宋_GBK" w:hAnsi="方正仿宋_GBK" w:eastAsia="方正仿宋_GBK" w:cs="方正仿宋_GBK"/>
          <w:b/>
          <w:bCs/>
          <w:color w:val="000000"/>
          <w:spacing w:val="17"/>
          <w:sz w:val="32"/>
          <w:szCs w:val="32"/>
          <w:lang w:eastAsia="zh-CN"/>
        </w:rPr>
        <w:t>：</w:t>
      </w:r>
      <w:r>
        <w:rPr>
          <w:rFonts w:hint="eastAsia" w:ascii="方正仿宋_GBK" w:hAnsi="方正仿宋_GBK" w:eastAsia="方正仿宋_GBK" w:cs="方正仿宋_GBK"/>
          <w:spacing w:val="6"/>
          <w:sz w:val="32"/>
          <w:szCs w:val="32"/>
        </w:rPr>
        <w:t>项目决策类指标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项目过程类指标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项目产出类指标</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项目效益类指标。</w:t>
      </w:r>
    </w:p>
    <w:p>
      <w:pPr>
        <w:spacing w:beforeLines="0" w:afterLines="0" w:line="560" w:lineRule="exact"/>
        <w:ind w:firstLine="708" w:firstLineChars="200"/>
        <w:rPr>
          <w:rFonts w:hint="eastAsia" w:ascii="方正仿宋_GBK" w:hAnsi="方正仿宋_GBK" w:eastAsia="方正仿宋_GBK" w:cs="方正仿宋_GBK"/>
          <w:color w:val="000000"/>
          <w:spacing w:val="17"/>
          <w:sz w:val="32"/>
          <w:szCs w:val="32"/>
        </w:rPr>
      </w:pPr>
      <w:r>
        <w:rPr>
          <w:rFonts w:hint="eastAsia" w:ascii="方正仿宋_GBK" w:hAnsi="方正仿宋_GBK" w:eastAsia="方正仿宋_GBK" w:cs="方正仿宋_GBK"/>
          <w:b/>
          <w:bCs/>
          <w:color w:val="000000"/>
          <w:spacing w:val="17"/>
          <w:sz w:val="32"/>
          <w:szCs w:val="32"/>
        </w:rPr>
        <w:t>（2）确定权重</w:t>
      </w:r>
      <w:r>
        <w:rPr>
          <w:rFonts w:hint="eastAsia" w:ascii="方正仿宋_GBK" w:hAnsi="方正仿宋_GBK" w:eastAsia="方正仿宋_GBK" w:cs="方正仿宋_GBK"/>
          <w:b/>
          <w:bCs/>
          <w:color w:val="000000"/>
          <w:spacing w:val="17"/>
          <w:sz w:val="32"/>
          <w:szCs w:val="32"/>
          <w:lang w:eastAsia="zh-CN"/>
        </w:rPr>
        <w:t>：</w:t>
      </w:r>
      <w:r>
        <w:rPr>
          <w:rFonts w:hint="eastAsia" w:ascii="方正仿宋_GBK" w:hAnsi="方正仿宋_GBK" w:eastAsia="方正仿宋_GBK" w:cs="方正仿宋_GBK"/>
          <w:spacing w:val="6"/>
          <w:sz w:val="32"/>
          <w:szCs w:val="32"/>
        </w:rPr>
        <w:t>项目决策类指标权重值为</w:t>
      </w:r>
      <w:r>
        <w:rPr>
          <w:rFonts w:hint="eastAsia" w:ascii="方正仿宋_GBK" w:hAnsi="方正仿宋_GBK" w:eastAsia="方正仿宋_GBK" w:cs="方正仿宋_GBK"/>
          <w:spacing w:val="6"/>
          <w:sz w:val="32"/>
          <w:szCs w:val="32"/>
          <w:lang w:val="en-US" w:eastAsia="zh-CN"/>
        </w:rPr>
        <w:t>20分</w:t>
      </w:r>
      <w:r>
        <w:rPr>
          <w:rFonts w:hint="eastAsia" w:ascii="方正仿宋_GBK" w:hAnsi="方正仿宋_GBK" w:eastAsia="方正仿宋_GBK" w:cs="方正仿宋_GBK"/>
          <w:spacing w:val="6"/>
          <w:sz w:val="32"/>
          <w:szCs w:val="32"/>
        </w:rPr>
        <w:t>，项目过程类指标权重值为</w:t>
      </w:r>
      <w:r>
        <w:rPr>
          <w:rFonts w:hint="eastAsia" w:ascii="方正仿宋_GBK" w:hAnsi="方正仿宋_GBK" w:eastAsia="方正仿宋_GBK" w:cs="方正仿宋_GBK"/>
          <w:spacing w:val="6"/>
          <w:sz w:val="32"/>
          <w:szCs w:val="32"/>
          <w:lang w:val="en-US" w:eastAsia="zh-CN"/>
        </w:rPr>
        <w:t>20分</w:t>
      </w:r>
      <w:r>
        <w:rPr>
          <w:rFonts w:hint="eastAsia" w:ascii="方正仿宋_GBK" w:hAnsi="方正仿宋_GBK" w:eastAsia="方正仿宋_GBK" w:cs="方正仿宋_GBK"/>
          <w:spacing w:val="6"/>
          <w:sz w:val="32"/>
          <w:szCs w:val="32"/>
        </w:rPr>
        <w:t>，项目产出类指标权重值为</w:t>
      </w:r>
      <w:r>
        <w:rPr>
          <w:rFonts w:hint="eastAsia" w:ascii="方正仿宋_GBK" w:hAnsi="方正仿宋_GBK" w:eastAsia="方正仿宋_GBK" w:cs="方正仿宋_GBK"/>
          <w:spacing w:val="6"/>
          <w:sz w:val="32"/>
          <w:szCs w:val="32"/>
          <w:lang w:val="en-US" w:eastAsia="zh-CN"/>
        </w:rPr>
        <w:t>30分</w:t>
      </w:r>
      <w:r>
        <w:rPr>
          <w:rFonts w:hint="eastAsia" w:ascii="方正仿宋_GBK" w:hAnsi="方正仿宋_GBK" w:eastAsia="方正仿宋_GBK" w:cs="方正仿宋_GBK"/>
          <w:spacing w:val="6"/>
          <w:sz w:val="32"/>
          <w:szCs w:val="32"/>
        </w:rPr>
        <w:t>，项目效益类指标权重值为</w:t>
      </w:r>
      <w:r>
        <w:rPr>
          <w:rFonts w:hint="eastAsia" w:ascii="方正仿宋_GBK" w:hAnsi="方正仿宋_GBK" w:eastAsia="方正仿宋_GBK" w:cs="方正仿宋_GBK"/>
          <w:spacing w:val="6"/>
          <w:sz w:val="32"/>
          <w:szCs w:val="32"/>
          <w:lang w:val="en-US" w:eastAsia="zh-CN"/>
        </w:rPr>
        <w:t>30</w:t>
      </w:r>
      <w:r>
        <w:rPr>
          <w:rFonts w:hint="eastAsia" w:ascii="方正仿宋_GBK" w:hAnsi="方正仿宋_GBK" w:eastAsia="方正仿宋_GBK" w:cs="方正仿宋_GBK"/>
          <w:spacing w:val="6"/>
          <w:sz w:val="32"/>
          <w:szCs w:val="32"/>
          <w:lang w:eastAsia="zh-CN"/>
        </w:rPr>
        <w:t>分</w:t>
      </w:r>
      <w:r>
        <w:rPr>
          <w:rFonts w:hint="eastAsia" w:ascii="方正仿宋_GBK" w:hAnsi="方正仿宋_GBK" w:eastAsia="方正仿宋_GBK" w:cs="方正仿宋_GBK"/>
          <w:spacing w:val="6"/>
          <w:sz w:val="32"/>
          <w:szCs w:val="32"/>
        </w:rPr>
        <w:t>。</w:t>
      </w:r>
    </w:p>
    <w:p>
      <w:pPr>
        <w:pStyle w:val="2"/>
        <w:spacing w:before="0" w:beforeLines="0" w:after="0" w:afterLines="0" w:line="560" w:lineRule="exact"/>
        <w:ind w:firstLine="708" w:firstLineChars="200"/>
        <w:jc w:val="both"/>
        <w:rPr>
          <w:rFonts w:hint="eastAsia" w:ascii="方正仿宋_GBK" w:hAnsi="方正仿宋_GBK" w:eastAsia="方正仿宋_GBK" w:cs="方正仿宋_GBK"/>
          <w:b/>
          <w:bCs/>
          <w:spacing w:val="6"/>
          <w:kern w:val="2"/>
          <w:sz w:val="32"/>
          <w:szCs w:val="32"/>
          <w:lang w:val="en-US" w:eastAsia="zh-CN" w:bidi="ar-SA"/>
        </w:rPr>
      </w:pPr>
      <w:r>
        <w:rPr>
          <w:rFonts w:hint="eastAsia" w:ascii="方正仿宋_GBK" w:hAnsi="方正仿宋_GBK" w:eastAsia="方正仿宋_GBK" w:cs="方正仿宋_GBK"/>
          <w:b/>
          <w:bCs/>
          <w:color w:val="000000"/>
          <w:spacing w:val="17"/>
          <w:kern w:val="2"/>
          <w:sz w:val="32"/>
          <w:szCs w:val="32"/>
          <w:lang w:val="en-US" w:eastAsia="zh-CN" w:bidi="ar-SA"/>
        </w:rPr>
        <w:t>（3）</w:t>
      </w:r>
      <w:r>
        <w:rPr>
          <w:rFonts w:hint="eastAsia" w:ascii="方正仿宋_GBK" w:hAnsi="方正仿宋_GBK" w:eastAsia="方正仿宋_GBK" w:cs="方正仿宋_GBK"/>
          <w:b/>
          <w:bCs/>
          <w:spacing w:val="6"/>
          <w:kern w:val="2"/>
          <w:sz w:val="32"/>
          <w:szCs w:val="32"/>
          <w:lang w:val="en-US" w:eastAsia="zh-CN" w:bidi="ar-SA"/>
        </w:rPr>
        <w:t>确定指标标准值</w:t>
      </w:r>
    </w:p>
    <w:p>
      <w:pPr>
        <w:pStyle w:val="2"/>
        <w:spacing w:before="0" w:beforeLines="0" w:after="0" w:afterLines="0" w:line="560" w:lineRule="exact"/>
        <w:ind w:firstLine="708" w:firstLineChars="200"/>
        <w:jc w:val="both"/>
        <w:rPr>
          <w:rFonts w:hint="eastAsia" w:ascii="方正仿宋_GBK" w:hAnsi="方正仿宋_GBK" w:eastAsia="方正仿宋_GBK" w:cs="方正仿宋_GBK"/>
          <w:b w:val="0"/>
          <w:bCs w:val="0"/>
          <w:color w:val="000000"/>
          <w:spacing w:val="17"/>
          <w:kern w:val="2"/>
          <w:sz w:val="32"/>
          <w:szCs w:val="32"/>
        </w:rPr>
      </w:pPr>
      <w:r>
        <w:rPr>
          <w:rFonts w:hint="eastAsia" w:ascii="方正仿宋_GBK" w:hAnsi="方正仿宋_GBK" w:eastAsia="方正仿宋_GBK" w:cs="方正仿宋_GBK"/>
          <w:b w:val="0"/>
          <w:bCs w:val="0"/>
          <w:color w:val="000000"/>
          <w:spacing w:val="17"/>
          <w:kern w:val="2"/>
          <w:sz w:val="32"/>
          <w:szCs w:val="32"/>
          <w:lang w:val="en-US" w:eastAsia="zh-CN" w:bidi="ar-SA"/>
        </w:rPr>
        <w:t>绩效评价结果采取评分和评级相结合的方式，</w:t>
      </w:r>
      <w:r>
        <w:rPr>
          <w:rFonts w:hint="eastAsia" w:ascii="方正仿宋_GBK" w:hAnsi="方正仿宋_GBK" w:eastAsia="方正仿宋_GBK" w:cs="方正仿宋_GBK"/>
          <w:b w:val="0"/>
          <w:bCs w:val="0"/>
          <w:color w:val="000000"/>
          <w:spacing w:val="17"/>
          <w:kern w:val="2"/>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Style w:val="2"/>
        <w:spacing w:before="0" w:beforeLines="0" w:after="0" w:afterLines="0" w:line="560" w:lineRule="exact"/>
        <w:ind w:firstLine="708"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pacing w:val="17"/>
          <w:sz w:val="32"/>
          <w:szCs w:val="32"/>
        </w:rPr>
        <w:t>具体评价指标体系详情见附件1</w:t>
      </w:r>
    </w:p>
    <w:p>
      <w:pPr>
        <w:numPr>
          <w:ilvl w:val="0"/>
          <w:numId w:val="0"/>
        </w:numPr>
        <w:spacing w:beforeLines="0" w:afterLines="0" w:line="560" w:lineRule="exact"/>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 xml:space="preserve">    2.绩效评价方法</w:t>
      </w:r>
    </w:p>
    <w:p>
      <w:pPr>
        <w:spacing w:beforeLines="0" w:afterLines="0" w:line="560" w:lineRule="exact"/>
        <w:ind w:firstLine="664" w:firstLineChars="200"/>
        <w:rPr>
          <w:rFonts w:hint="eastAsia" w:ascii="方正仿宋_GBK" w:hAnsi="方正仿宋_GBK" w:eastAsia="方正仿宋_GBK" w:cs="方正仿宋_GBK"/>
          <w:b w:val="0"/>
          <w:bCs w:val="0"/>
          <w:color w:val="000000"/>
          <w:spacing w:val="17"/>
          <w:kern w:val="2"/>
          <w:sz w:val="32"/>
          <w:szCs w:val="32"/>
          <w:lang w:val="en-US" w:eastAsia="zh-CN" w:bidi="ar-SA"/>
        </w:rPr>
      </w:pPr>
      <w:r>
        <w:rPr>
          <w:rFonts w:hint="eastAsia" w:ascii="方正仿宋_GBK" w:hAnsi="方正仿宋_GBK" w:eastAsia="方正仿宋_GBK" w:cs="方正仿宋_GBK"/>
          <w:spacing w:val="6"/>
          <w:kern w:val="2"/>
          <w:sz w:val="32"/>
          <w:szCs w:val="32"/>
          <w:lang w:val="en-US" w:eastAsia="zh-CN" w:bidi="ar-SA"/>
        </w:rPr>
        <w:t>本次评价</w:t>
      </w:r>
      <w:r>
        <w:rPr>
          <w:rFonts w:hint="eastAsia" w:ascii="方正仿宋_GBK" w:hAnsi="方正仿宋_GBK" w:eastAsia="方正仿宋_GBK" w:cs="方正仿宋_GBK"/>
          <w:b w:val="0"/>
          <w:bCs w:val="0"/>
          <w:color w:val="000000"/>
          <w:spacing w:val="17"/>
          <w:kern w:val="2"/>
          <w:sz w:val="32"/>
          <w:szCs w:val="32"/>
          <w:lang w:val="en-US" w:eastAsia="zh-CN" w:bidi="ar-SA"/>
        </w:rPr>
        <w:t>选用比较法和因素分析法进行评价。</w:t>
      </w:r>
    </w:p>
    <w:p>
      <w:pPr>
        <w:spacing w:beforeLines="0" w:afterLines="0" w:line="560" w:lineRule="exact"/>
        <w:ind w:firstLine="602" w:firstLineChars="200"/>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3.评价标准</w:t>
      </w:r>
    </w:p>
    <w:p>
      <w:pPr>
        <w:spacing w:beforeLines="0" w:afterLines="0" w:line="560" w:lineRule="exact"/>
        <w:ind w:firstLine="664" w:firstLineChars="200"/>
        <w:outlineLvl w:val="0"/>
        <w:rPr>
          <w:rFonts w:hint="eastAsia" w:ascii="方正仿宋_GBK" w:hAnsi="方正仿宋_GBK" w:eastAsia="方正仿宋_GBK" w:cs="方正仿宋_GBK"/>
          <w:spacing w:val="6"/>
          <w:kern w:val="2"/>
          <w:sz w:val="32"/>
          <w:szCs w:val="32"/>
          <w:lang w:val="en-US" w:eastAsia="zh-CN" w:bidi="ar-SA"/>
        </w:rPr>
      </w:pPr>
      <w:r>
        <w:rPr>
          <w:rFonts w:hint="eastAsia" w:ascii="方正仿宋_GBK" w:hAnsi="方正仿宋_GBK" w:eastAsia="方正仿宋_GBK" w:cs="方正仿宋_GBK"/>
          <w:spacing w:val="6"/>
          <w:kern w:val="2"/>
          <w:sz w:val="32"/>
          <w:szCs w:val="32"/>
          <w:lang w:val="en-US" w:eastAsia="zh-CN" w:bidi="ar-SA"/>
        </w:rPr>
        <w:t>本次评价主要采用了计划标准和行业标准。</w:t>
      </w:r>
    </w:p>
    <w:p>
      <w:pPr>
        <w:spacing w:beforeLines="0" w:afterLines="0" w:line="560" w:lineRule="exact"/>
        <w:ind w:firstLine="602" w:firstLineChars="200"/>
        <w:outlineLvl w:val="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（三）绩效评价工作过程</w:t>
      </w:r>
    </w:p>
    <w:p>
      <w:pPr>
        <w:numPr>
          <w:ilvl w:val="0"/>
          <w:numId w:val="0"/>
        </w:numPr>
        <w:spacing w:beforeLines="0" w:afterLines="0" w:line="560" w:lineRule="exact"/>
        <w:rPr>
          <w:rFonts w:hint="eastAsia" w:ascii="方正仿宋_GBK" w:hAnsi="方正仿宋_GBK" w:eastAsia="方正仿宋_GBK" w:cs="方正仿宋_GBK"/>
          <w:bCs/>
          <w:sz w:val="32"/>
          <w:szCs w:val="32"/>
        </w:rPr>
      </w:pPr>
      <w:r>
        <w:rPr>
          <w:rFonts w:hint="eastAsia" w:ascii="仿宋_GB2312" w:hAnsi="黑体" w:cstheme="minorBidi"/>
          <w:color w:val="auto"/>
          <w:spacing w:val="6"/>
          <w:kern w:val="2"/>
          <w:sz w:val="32"/>
          <w:szCs w:val="32"/>
          <w:lang w:val="en-US" w:eastAsia="zh-CN" w:bidi="ar-SA"/>
        </w:rPr>
        <w:t xml:space="preserve">    </w:t>
      </w:r>
      <w:r>
        <w:rPr>
          <w:rFonts w:hint="eastAsia" w:ascii="方正仿宋_GBK" w:hAnsi="方正仿宋_GBK" w:eastAsia="方正仿宋_GBK" w:cs="方正仿宋_GBK"/>
          <w:b/>
          <w:bCs/>
          <w:color w:val="auto"/>
          <w:spacing w:val="6"/>
          <w:kern w:val="2"/>
          <w:sz w:val="32"/>
          <w:szCs w:val="32"/>
          <w:lang w:val="en-US" w:eastAsia="zh-CN" w:bidi="ar-SA"/>
        </w:rPr>
        <w:t>1.</w:t>
      </w:r>
      <w:r>
        <w:rPr>
          <w:rFonts w:hint="eastAsia" w:ascii="方正仿宋_GBK" w:hAnsi="方正仿宋_GBK" w:eastAsia="方正仿宋_GBK" w:cs="方正仿宋_GBK"/>
          <w:b/>
          <w:bCs/>
          <w:sz w:val="32"/>
          <w:szCs w:val="32"/>
        </w:rPr>
        <w:t>前期准备。</w:t>
      </w:r>
      <w:r>
        <w:rPr>
          <w:rFonts w:hint="eastAsia" w:ascii="方正仿宋_GBK" w:hAnsi="方正仿宋_GBK" w:eastAsia="方正仿宋_GBK" w:cs="方正仿宋_GBK"/>
          <w:color w:val="auto"/>
          <w:spacing w:val="6"/>
          <w:kern w:val="2"/>
          <w:sz w:val="32"/>
          <w:szCs w:val="32"/>
          <w:lang w:val="en-US" w:eastAsia="zh-CN" w:bidi="ar-SA"/>
        </w:rPr>
        <w:t>根据预算项目绩效完成情况，各预算执行部门对照年初绩效目标，汇总项目资料清单，确定绩效评价方法。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90" w:firstLineChars="0"/>
        <w:jc w:val="both"/>
        <w:textAlignment w:val="auto"/>
        <w:outlineLvl w:val="9"/>
        <w:rPr>
          <w:rFonts w:hint="eastAsia" w:ascii="方正仿宋_GBK" w:hAnsi="方正仿宋_GBK" w:eastAsia="方正仿宋_GBK" w:cs="方正仿宋_GBK"/>
          <w:color w:val="C00000"/>
          <w:spacing w:val="6"/>
          <w:kern w:val="2"/>
          <w:sz w:val="32"/>
          <w:szCs w:val="32"/>
          <w:lang w:val="en-US" w:eastAsia="zh-CN" w:bidi="ar-SA"/>
        </w:rPr>
      </w:pPr>
      <w:r>
        <w:rPr>
          <w:rFonts w:hint="eastAsia" w:ascii="方正仿宋_GBK" w:hAnsi="方正仿宋_GBK" w:eastAsia="方正仿宋_GBK" w:cs="方正仿宋_GBK"/>
          <w:b/>
          <w:bCs w:val="0"/>
          <w:sz w:val="32"/>
          <w:szCs w:val="32"/>
          <w:lang w:val="en-US" w:eastAsia="zh-CN"/>
        </w:rPr>
        <w:t>2.</w:t>
      </w:r>
      <w:r>
        <w:rPr>
          <w:rFonts w:hint="eastAsia" w:ascii="方正仿宋_GBK" w:hAnsi="方正仿宋_GBK" w:eastAsia="方正仿宋_GBK" w:cs="方正仿宋_GBK"/>
          <w:b/>
          <w:bCs w:val="0"/>
          <w:sz w:val="32"/>
          <w:szCs w:val="32"/>
        </w:rPr>
        <w:t>组织实施。</w:t>
      </w:r>
      <w:r>
        <w:rPr>
          <w:rFonts w:hint="eastAsia" w:ascii="方正仿宋_GBK" w:hAnsi="方正仿宋_GBK" w:eastAsia="方正仿宋_GBK" w:cs="方正仿宋_GBK"/>
          <w:color w:val="auto"/>
          <w:spacing w:val="6"/>
          <w:kern w:val="2"/>
          <w:sz w:val="32"/>
          <w:szCs w:val="32"/>
          <w:lang w:val="en-US" w:eastAsia="zh-CN" w:bidi="ar-SA"/>
        </w:rPr>
        <w:t>各预算项目执行部门根据2022年项目支出绩效目标对各项目指标进行数据分解，从运行成本、管理效率、履职效能、经济效益和服务对象满意度等方面，逐条进行自评。自评完成的工作任务、工作质量、完成时间、应达到的预期效果。</w:t>
      </w:r>
    </w:p>
    <w:p>
      <w:pPr>
        <w:numPr>
          <w:ilvl w:val="0"/>
          <w:numId w:val="0"/>
        </w:numPr>
        <w:spacing w:beforeLines="0" w:afterLines="0"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
          <w:bCs w:val="0"/>
          <w:sz w:val="32"/>
          <w:szCs w:val="32"/>
          <w:lang w:val="en-US" w:eastAsia="zh-CN"/>
        </w:rPr>
        <w:t xml:space="preserve"> 3.</w:t>
      </w:r>
      <w:r>
        <w:rPr>
          <w:rFonts w:hint="eastAsia" w:ascii="方正仿宋_GBK" w:hAnsi="方正仿宋_GBK" w:eastAsia="方正仿宋_GBK" w:cs="方正仿宋_GBK"/>
          <w:b/>
          <w:bCs w:val="0"/>
          <w:sz w:val="32"/>
          <w:szCs w:val="32"/>
        </w:rPr>
        <w:t>分析评价。</w:t>
      </w:r>
      <w:r>
        <w:rPr>
          <w:rFonts w:hint="eastAsia" w:ascii="方正仿宋_GBK" w:hAnsi="方正仿宋_GBK" w:eastAsia="方正仿宋_GBK" w:cs="方正仿宋_GBK"/>
          <w:color w:val="auto"/>
          <w:spacing w:val="6"/>
          <w:kern w:val="2"/>
          <w:sz w:val="32"/>
          <w:szCs w:val="32"/>
          <w:lang w:val="en-US" w:eastAsia="zh-CN" w:bidi="ar-SA"/>
        </w:rPr>
        <w:t>各预算项目执行部门整合资料，</w:t>
      </w:r>
      <w:r>
        <w:rPr>
          <w:rFonts w:hint="eastAsia" w:ascii="方正仿宋_GBK" w:hAnsi="方正仿宋_GBK" w:eastAsia="方正仿宋_GBK" w:cs="方正仿宋_GBK"/>
          <w:bCs/>
          <w:sz w:val="32"/>
          <w:szCs w:val="32"/>
        </w:rPr>
        <w:t>对照已确定的绩效评价指标进行详细全面的分析评价，逐项打分并形成绩效评价最终结果。</w:t>
      </w:r>
    </w:p>
    <w:p>
      <w:pPr>
        <w:numPr>
          <w:ilvl w:val="0"/>
          <w:numId w:val="3"/>
        </w:numPr>
        <w:spacing w:beforeLines="0" w:afterLines="0" w:line="560" w:lineRule="exact"/>
        <w:ind w:firstLine="600" w:firstLineChars="200"/>
        <w:rPr>
          <w:rFonts w:hint="eastAsia" w:ascii="黑体" w:hAnsi="黑体" w:eastAsia="黑体"/>
          <w:highlight w:val="none"/>
        </w:rPr>
      </w:pPr>
      <w:r>
        <w:rPr>
          <w:rFonts w:hint="eastAsia" w:ascii="黑体" w:hAnsi="黑体" w:eastAsia="黑体"/>
          <w:highlight w:val="none"/>
        </w:rPr>
        <w:t>综合评价情况及评价结论</w:t>
      </w:r>
    </w:p>
    <w:p>
      <w:pPr>
        <w:spacing w:beforeLines="0" w:afterLines="0" w:line="560" w:lineRule="exact"/>
        <w:ind w:firstLine="602"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评价情况</w:t>
      </w:r>
    </w:p>
    <w:p>
      <w:pPr>
        <w:numPr>
          <w:ilvl w:val="0"/>
          <w:numId w:val="0"/>
        </w:numPr>
        <w:shd w:val="clear"/>
        <w:spacing w:beforeLines="0" w:afterLines="0" w:line="560" w:lineRule="exact"/>
        <w:ind w:firstLine="640" w:firstLineChars="200"/>
        <w:outlineLvl w:val="9"/>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spacing w:beforeLines="0" w:afterLines="0" w:line="560" w:lineRule="exact"/>
        <w:ind w:firstLine="602" w:firstLineChars="200"/>
        <w:rPr>
          <w:rFonts w:hint="eastAsia" w:ascii="方正楷体_GBK" w:hAnsi="方正楷体_GBK" w:eastAsia="方正楷体_GBK" w:cs="方正楷体_GBK"/>
          <w:b/>
          <w:bCs/>
          <w:lang w:val="en-US" w:eastAsia="zh-CN"/>
        </w:rPr>
      </w:pPr>
      <w:r>
        <w:rPr>
          <w:rFonts w:hint="eastAsia" w:ascii="方正楷体_GBK" w:hAnsi="方正楷体_GBK" w:eastAsia="方正楷体_GBK" w:cs="方正楷体_GBK"/>
          <w:b/>
          <w:bCs/>
          <w:lang w:eastAsia="zh-CN"/>
        </w:rPr>
        <w:t>（</w:t>
      </w:r>
      <w:r>
        <w:rPr>
          <w:rFonts w:hint="eastAsia" w:ascii="方正楷体_GBK" w:hAnsi="方正楷体_GBK" w:eastAsia="方正楷体_GBK" w:cs="方正楷体_GBK"/>
          <w:b/>
          <w:bCs/>
          <w:lang w:val="en-US" w:eastAsia="zh-CN"/>
        </w:rPr>
        <w:t>二</w:t>
      </w:r>
      <w:r>
        <w:rPr>
          <w:rFonts w:hint="eastAsia" w:ascii="方正楷体_GBK" w:hAnsi="方正楷体_GBK" w:eastAsia="方正楷体_GBK" w:cs="方正楷体_GBK"/>
          <w:b/>
          <w:bCs/>
          <w:lang w:eastAsia="zh-CN"/>
        </w:rPr>
        <w:t>）评价结论</w:t>
      </w:r>
    </w:p>
    <w:p>
      <w:pPr>
        <w:numPr>
          <w:ilvl w:val="0"/>
          <w:numId w:val="0"/>
        </w:numPr>
        <w:spacing w:beforeLines="0" w:afterLines="0" w:line="560" w:lineRule="exac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 xml:space="preserve">    运用绩效评价组制定的评价指标体系以及财政部《项目支出</w:t>
      </w:r>
      <w:r>
        <w:rPr>
          <w:rFonts w:hint="eastAsia" w:ascii="方正仿宋_GBK" w:hAnsi="方正仿宋_GBK" w:eastAsia="方正仿宋_GBK" w:cs="方正仿宋_GBK"/>
          <w:b w:val="0"/>
          <w:bCs/>
          <w:sz w:val="32"/>
          <w:szCs w:val="32"/>
          <w:lang w:val="en-US" w:eastAsia="zh-CN"/>
        </w:rPr>
        <w:t>绩效评价管理办法》（财预〔2020〕10号）文件的评分标准，</w:t>
      </w:r>
      <w:r>
        <w:rPr>
          <w:rFonts w:hint="eastAsia" w:ascii="方正仿宋_GBK" w:hAnsi="方正仿宋_GBK" w:eastAsia="方正仿宋_GBK" w:cs="方正仿宋_GBK"/>
          <w:bCs/>
          <w:sz w:val="32"/>
          <w:szCs w:val="32"/>
          <w:lang w:val="en-US" w:eastAsia="zh-CN"/>
        </w:rPr>
        <w:t>对</w:t>
      </w:r>
      <w:r>
        <w:rPr>
          <w:rFonts w:hint="eastAsia" w:ascii="方正仿宋_GBK" w:hAnsi="方正仿宋_GBK" w:eastAsia="方正仿宋_GBK" w:cs="方正仿宋_GBK"/>
          <w:bCs/>
          <w:sz w:val="32"/>
          <w:szCs w:val="32"/>
        </w:rPr>
        <w:t>彩票销售管理项目进行客观评价，最终评分结果：总得分为</w:t>
      </w:r>
      <w:r>
        <w:rPr>
          <w:rFonts w:hint="eastAsia" w:ascii="方正仿宋_GBK" w:hAnsi="方正仿宋_GBK" w:eastAsia="方正仿宋_GBK" w:cs="方正仿宋_GBK"/>
          <w:bCs/>
          <w:color w:val="auto"/>
          <w:sz w:val="32"/>
          <w:szCs w:val="32"/>
          <w:highlight w:val="none"/>
          <w:lang w:val="en-US" w:eastAsia="zh-CN"/>
        </w:rPr>
        <w:t>98.25</w:t>
      </w:r>
      <w:r>
        <w:rPr>
          <w:rFonts w:hint="eastAsia" w:ascii="方正仿宋_GBK" w:hAnsi="方正仿宋_GBK" w:eastAsia="方正仿宋_GBK" w:cs="方正仿宋_GBK"/>
          <w:bCs/>
          <w:sz w:val="32"/>
          <w:szCs w:val="32"/>
        </w:rPr>
        <w:t>分，属于“优”。其中，项目决策类指标权重为20分，得</w:t>
      </w:r>
      <w:r>
        <w:rPr>
          <w:rFonts w:hint="eastAsia" w:ascii="方正仿宋_GBK" w:hAnsi="方正仿宋_GBK" w:eastAsia="方正仿宋_GBK" w:cs="方正仿宋_GBK"/>
          <w:bCs/>
          <w:color w:val="auto"/>
          <w:sz w:val="32"/>
          <w:szCs w:val="32"/>
        </w:rPr>
        <w:t>分为</w:t>
      </w:r>
      <w:r>
        <w:rPr>
          <w:rFonts w:hint="eastAsia" w:ascii="方正仿宋_GBK" w:hAnsi="方正仿宋_GBK" w:eastAsia="方正仿宋_GBK" w:cs="方正仿宋_GBK"/>
          <w:bCs/>
          <w:color w:val="auto"/>
          <w:sz w:val="32"/>
          <w:szCs w:val="32"/>
          <w:lang w:val="en-US" w:eastAsia="zh-CN"/>
        </w:rPr>
        <w:t>19.5</w:t>
      </w:r>
      <w:r>
        <w:rPr>
          <w:rFonts w:hint="eastAsia" w:ascii="方正仿宋_GBK" w:hAnsi="方正仿宋_GBK" w:eastAsia="方正仿宋_GBK" w:cs="方正仿宋_GBK"/>
          <w:bCs/>
          <w:color w:val="auto"/>
          <w:sz w:val="32"/>
          <w:szCs w:val="32"/>
        </w:rPr>
        <w:t>分，得分率为</w:t>
      </w:r>
      <w:r>
        <w:rPr>
          <w:rFonts w:hint="eastAsia" w:ascii="方正仿宋_GBK" w:hAnsi="方正仿宋_GBK" w:eastAsia="方正仿宋_GBK" w:cs="方正仿宋_GBK"/>
          <w:bCs/>
          <w:color w:val="auto"/>
          <w:sz w:val="32"/>
          <w:szCs w:val="32"/>
          <w:lang w:val="en-US" w:eastAsia="zh-CN"/>
        </w:rPr>
        <w:t>97.5</w:t>
      </w:r>
      <w:r>
        <w:rPr>
          <w:rFonts w:hint="eastAsia" w:ascii="方正仿宋_GBK" w:hAnsi="方正仿宋_GBK" w:eastAsia="方正仿宋_GBK" w:cs="方正仿宋_GBK"/>
          <w:bCs/>
          <w:color w:val="auto"/>
          <w:sz w:val="32"/>
          <w:szCs w:val="32"/>
        </w:rPr>
        <w:t>%。项目过程类指标权重为20分，得分为</w:t>
      </w:r>
      <w:r>
        <w:rPr>
          <w:rFonts w:hint="eastAsia" w:ascii="方正仿宋_GBK" w:hAnsi="方正仿宋_GBK" w:eastAsia="方正仿宋_GBK" w:cs="方正仿宋_GBK"/>
          <w:bCs/>
          <w:color w:val="auto"/>
          <w:sz w:val="32"/>
          <w:szCs w:val="32"/>
          <w:lang w:val="en-US" w:eastAsia="zh-CN"/>
        </w:rPr>
        <w:t>18.75</w:t>
      </w:r>
      <w:r>
        <w:rPr>
          <w:rFonts w:hint="eastAsia" w:ascii="方正仿宋_GBK" w:hAnsi="方正仿宋_GBK" w:eastAsia="方正仿宋_GBK" w:cs="方正仿宋_GBK"/>
          <w:bCs/>
          <w:color w:val="auto"/>
          <w:sz w:val="32"/>
          <w:szCs w:val="32"/>
        </w:rPr>
        <w:t>分，得分率为</w:t>
      </w:r>
      <w:r>
        <w:rPr>
          <w:rFonts w:hint="eastAsia" w:ascii="方正仿宋_GBK" w:hAnsi="方正仿宋_GBK" w:eastAsia="方正仿宋_GBK" w:cs="方正仿宋_GBK"/>
          <w:bCs/>
          <w:color w:val="auto"/>
          <w:sz w:val="32"/>
          <w:szCs w:val="32"/>
          <w:lang w:val="en-US" w:eastAsia="zh-CN"/>
        </w:rPr>
        <w:t>93.75</w:t>
      </w:r>
      <w:r>
        <w:rPr>
          <w:rFonts w:hint="eastAsia" w:ascii="方正仿宋_GBK" w:hAnsi="方正仿宋_GBK" w:eastAsia="方正仿宋_GBK" w:cs="方正仿宋_GBK"/>
          <w:bCs/>
          <w:color w:val="auto"/>
          <w:sz w:val="32"/>
          <w:szCs w:val="32"/>
        </w:rPr>
        <w:t>%。项目产出类指标权重为</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0分，得分为</w:t>
      </w:r>
      <w:r>
        <w:rPr>
          <w:rFonts w:hint="eastAsia" w:ascii="方正仿宋_GBK" w:hAnsi="方正仿宋_GBK" w:eastAsia="方正仿宋_GBK" w:cs="方正仿宋_GBK"/>
          <w:bCs/>
          <w:color w:val="auto"/>
          <w:sz w:val="32"/>
          <w:szCs w:val="32"/>
          <w:lang w:val="en-US" w:eastAsia="zh-CN"/>
        </w:rPr>
        <w:t>30</w:t>
      </w:r>
      <w:r>
        <w:rPr>
          <w:rFonts w:hint="eastAsia" w:ascii="方正仿宋_GBK" w:hAnsi="方正仿宋_GBK" w:eastAsia="方正仿宋_GBK" w:cs="方正仿宋_GBK"/>
          <w:bCs/>
          <w:color w:val="auto"/>
          <w:sz w:val="32"/>
          <w:szCs w:val="32"/>
        </w:rPr>
        <w:t>分，得分率为</w:t>
      </w:r>
      <w:r>
        <w:rPr>
          <w:rFonts w:hint="eastAsia" w:ascii="方正仿宋_GBK" w:hAnsi="方正仿宋_GBK" w:eastAsia="方正仿宋_GBK" w:cs="方正仿宋_GBK"/>
          <w:bCs/>
          <w:color w:val="auto"/>
          <w:sz w:val="32"/>
          <w:szCs w:val="32"/>
          <w:lang w:val="en-US" w:eastAsia="zh-CN"/>
        </w:rPr>
        <w:t>100</w:t>
      </w:r>
      <w:r>
        <w:rPr>
          <w:rFonts w:hint="eastAsia" w:ascii="方正仿宋_GBK" w:hAnsi="方正仿宋_GBK" w:eastAsia="方正仿宋_GBK" w:cs="方正仿宋_GBK"/>
          <w:bCs/>
          <w:color w:val="auto"/>
          <w:sz w:val="32"/>
          <w:szCs w:val="32"/>
        </w:rPr>
        <w:t>%。项目效益类指标权重为</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0分，得分为</w:t>
      </w:r>
      <w:r>
        <w:rPr>
          <w:rFonts w:hint="eastAsia" w:ascii="方正仿宋_GBK" w:hAnsi="方正仿宋_GBK" w:eastAsia="方正仿宋_GBK" w:cs="方正仿宋_GBK"/>
          <w:bCs/>
          <w:color w:val="auto"/>
          <w:sz w:val="32"/>
          <w:szCs w:val="32"/>
          <w:lang w:val="en-US" w:eastAsia="zh-CN"/>
        </w:rPr>
        <w:t>30</w:t>
      </w:r>
      <w:r>
        <w:rPr>
          <w:rFonts w:hint="eastAsia" w:ascii="方正仿宋_GBK" w:hAnsi="方正仿宋_GBK" w:eastAsia="方正仿宋_GBK" w:cs="方正仿宋_GBK"/>
          <w:bCs/>
          <w:color w:val="auto"/>
          <w:sz w:val="32"/>
          <w:szCs w:val="32"/>
        </w:rPr>
        <w:t>分，得分率为</w:t>
      </w:r>
      <w:r>
        <w:rPr>
          <w:rFonts w:hint="eastAsia" w:ascii="方正仿宋_GBK" w:hAnsi="方正仿宋_GBK" w:eastAsia="方正仿宋_GBK" w:cs="方正仿宋_GBK"/>
          <w:bCs/>
          <w:color w:val="auto"/>
          <w:sz w:val="32"/>
          <w:szCs w:val="32"/>
          <w:lang w:val="en-US" w:eastAsia="zh-CN"/>
        </w:rPr>
        <w:t>100</w:t>
      </w:r>
      <w:r>
        <w:rPr>
          <w:rFonts w:hint="eastAsia" w:ascii="方正仿宋_GBK" w:hAnsi="方正仿宋_GBK" w:eastAsia="方正仿宋_GBK" w:cs="方正仿宋_GBK"/>
          <w:bCs/>
          <w:color w:val="auto"/>
          <w:sz w:val="32"/>
          <w:szCs w:val="32"/>
        </w:rPr>
        <w:t>%。</w:t>
      </w:r>
    </w:p>
    <w:p>
      <w:pPr>
        <w:pStyle w:val="2"/>
        <w:rPr>
          <w:rFonts w:ascii="Times New Roman" w:hAnsi="Times New Roman" w:eastAsia="仿宋_GB2312"/>
          <w:sz w:val="30"/>
          <w:szCs w:val="30"/>
        </w:rPr>
      </w:pPr>
      <w:r>
        <w:rPr>
          <w:rFonts w:ascii="Times New Roman" w:hAnsi="Times New Roman" w:eastAsia="仿宋_GB2312"/>
          <w:sz w:val="30"/>
          <w:szCs w:val="30"/>
        </w:rPr>
        <w:t>表1综合评分表</w:t>
      </w:r>
    </w:p>
    <w:tbl>
      <w:tblPr>
        <w:tblStyle w:val="17"/>
        <w:tblW w:w="995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04"/>
        <w:gridCol w:w="990"/>
        <w:gridCol w:w="1283"/>
        <w:gridCol w:w="1762"/>
        <w:gridCol w:w="780"/>
        <w:gridCol w:w="936"/>
        <w:gridCol w:w="1024"/>
        <w:gridCol w:w="983"/>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0" w:hRule="atLeast"/>
          <w:tblHeader/>
          <w:jc w:val="center"/>
        </w:trPr>
        <w:tc>
          <w:tcPr>
            <w:tcW w:w="1104" w:type="dxa"/>
            <w:shd w:val="clear" w:color="auto" w:fill="BFBFBF"/>
            <w:vAlign w:val="center"/>
          </w:tcPr>
          <w:p>
            <w:pPr>
              <w:widowControl/>
              <w:spacing w:line="0" w:lineRule="atLeast"/>
              <w:rPr>
                <w:b/>
                <w:bCs/>
                <w:color w:val="000000"/>
                <w:kern w:val="0"/>
                <w:sz w:val="22"/>
                <w:szCs w:val="22"/>
              </w:rPr>
            </w:pPr>
            <w:r>
              <w:rPr>
                <w:b/>
                <w:bCs/>
                <w:color w:val="000000"/>
                <w:kern w:val="0"/>
                <w:sz w:val="22"/>
                <w:szCs w:val="22"/>
              </w:rPr>
              <w:t>一级指标</w:t>
            </w:r>
          </w:p>
        </w:tc>
        <w:tc>
          <w:tcPr>
            <w:tcW w:w="990" w:type="dxa"/>
            <w:shd w:val="clear" w:color="auto" w:fill="BFBFBF"/>
            <w:vAlign w:val="center"/>
          </w:tcPr>
          <w:p>
            <w:pPr>
              <w:widowControl/>
              <w:spacing w:line="0" w:lineRule="atLeast"/>
              <w:jc w:val="center"/>
              <w:rPr>
                <w:b/>
                <w:bCs/>
                <w:color w:val="000000"/>
                <w:kern w:val="0"/>
                <w:sz w:val="22"/>
                <w:szCs w:val="22"/>
              </w:rPr>
            </w:pPr>
            <w:r>
              <w:rPr>
                <w:b/>
                <w:bCs/>
                <w:color w:val="000000"/>
                <w:kern w:val="0"/>
                <w:sz w:val="22"/>
                <w:szCs w:val="22"/>
              </w:rPr>
              <w:t>分值</w:t>
            </w:r>
          </w:p>
        </w:tc>
        <w:tc>
          <w:tcPr>
            <w:tcW w:w="1283" w:type="dxa"/>
            <w:shd w:val="clear" w:color="auto" w:fill="BFBFBF"/>
            <w:vAlign w:val="center"/>
          </w:tcPr>
          <w:p>
            <w:pPr>
              <w:widowControl/>
              <w:spacing w:line="0" w:lineRule="atLeast"/>
              <w:jc w:val="center"/>
              <w:rPr>
                <w:b/>
                <w:bCs/>
                <w:color w:val="000000"/>
                <w:kern w:val="0"/>
                <w:sz w:val="22"/>
                <w:szCs w:val="22"/>
              </w:rPr>
            </w:pPr>
            <w:r>
              <w:rPr>
                <w:b/>
                <w:bCs/>
                <w:color w:val="000000"/>
                <w:kern w:val="0"/>
                <w:sz w:val="22"/>
                <w:szCs w:val="22"/>
              </w:rPr>
              <w:t>二级指标</w:t>
            </w:r>
          </w:p>
        </w:tc>
        <w:tc>
          <w:tcPr>
            <w:tcW w:w="1762" w:type="dxa"/>
            <w:shd w:val="clear" w:color="auto" w:fill="BFBFBF"/>
            <w:vAlign w:val="center"/>
          </w:tcPr>
          <w:p>
            <w:pPr>
              <w:widowControl/>
              <w:spacing w:line="0" w:lineRule="atLeast"/>
              <w:jc w:val="center"/>
              <w:rPr>
                <w:b/>
                <w:bCs/>
                <w:color w:val="000000"/>
                <w:kern w:val="0"/>
                <w:sz w:val="22"/>
                <w:szCs w:val="22"/>
              </w:rPr>
            </w:pPr>
            <w:r>
              <w:rPr>
                <w:b/>
                <w:bCs/>
                <w:color w:val="000000"/>
                <w:kern w:val="0"/>
                <w:sz w:val="22"/>
                <w:szCs w:val="22"/>
              </w:rPr>
              <w:t>三级指标</w:t>
            </w:r>
          </w:p>
        </w:tc>
        <w:tc>
          <w:tcPr>
            <w:tcW w:w="780" w:type="dxa"/>
            <w:shd w:val="clear" w:color="auto" w:fill="BFBFBF"/>
            <w:vAlign w:val="center"/>
          </w:tcPr>
          <w:p>
            <w:pPr>
              <w:widowControl/>
              <w:spacing w:line="0" w:lineRule="atLeast"/>
              <w:jc w:val="center"/>
              <w:rPr>
                <w:b/>
                <w:bCs/>
                <w:color w:val="000000"/>
                <w:kern w:val="0"/>
                <w:sz w:val="22"/>
                <w:szCs w:val="22"/>
              </w:rPr>
            </w:pPr>
            <w:r>
              <w:rPr>
                <w:b/>
                <w:bCs/>
                <w:color w:val="000000"/>
                <w:kern w:val="0"/>
                <w:sz w:val="22"/>
                <w:szCs w:val="22"/>
              </w:rPr>
              <w:t>权重</w:t>
            </w:r>
          </w:p>
        </w:tc>
        <w:tc>
          <w:tcPr>
            <w:tcW w:w="936" w:type="dxa"/>
            <w:shd w:val="clear" w:color="auto" w:fill="BFBFBF"/>
            <w:vAlign w:val="center"/>
          </w:tcPr>
          <w:p>
            <w:pPr>
              <w:widowControl/>
              <w:tabs>
                <w:tab w:val="left" w:pos="1333"/>
                <w:tab w:val="center" w:pos="3623"/>
              </w:tabs>
              <w:spacing w:line="0" w:lineRule="atLeast"/>
              <w:jc w:val="center"/>
              <w:rPr>
                <w:b/>
                <w:bCs/>
                <w:color w:val="000000"/>
                <w:kern w:val="0"/>
                <w:sz w:val="22"/>
                <w:szCs w:val="22"/>
              </w:rPr>
            </w:pPr>
            <w:r>
              <w:rPr>
                <w:b/>
                <w:bCs/>
                <w:color w:val="000000"/>
                <w:kern w:val="0"/>
                <w:sz w:val="22"/>
                <w:szCs w:val="22"/>
              </w:rPr>
              <w:t>目标值</w:t>
            </w:r>
          </w:p>
        </w:tc>
        <w:tc>
          <w:tcPr>
            <w:tcW w:w="1024" w:type="dxa"/>
            <w:shd w:val="clear" w:color="auto" w:fill="BFBFBF"/>
            <w:vAlign w:val="center"/>
          </w:tcPr>
          <w:p>
            <w:pPr>
              <w:widowControl/>
              <w:tabs>
                <w:tab w:val="left" w:pos="1333"/>
                <w:tab w:val="center" w:pos="3623"/>
              </w:tabs>
              <w:spacing w:line="0" w:lineRule="atLeast"/>
              <w:jc w:val="center"/>
              <w:rPr>
                <w:b/>
                <w:bCs/>
                <w:color w:val="000000"/>
                <w:kern w:val="0"/>
                <w:sz w:val="22"/>
                <w:szCs w:val="22"/>
              </w:rPr>
            </w:pPr>
            <w:r>
              <w:rPr>
                <w:b/>
                <w:bCs/>
                <w:color w:val="000000"/>
                <w:kern w:val="0"/>
                <w:sz w:val="22"/>
                <w:szCs w:val="22"/>
              </w:rPr>
              <w:t>业绩值</w:t>
            </w:r>
          </w:p>
        </w:tc>
        <w:tc>
          <w:tcPr>
            <w:tcW w:w="983" w:type="dxa"/>
            <w:shd w:val="clear" w:color="auto" w:fill="BFBFBF"/>
            <w:vAlign w:val="center"/>
          </w:tcPr>
          <w:p>
            <w:pPr>
              <w:widowControl/>
              <w:tabs>
                <w:tab w:val="left" w:pos="1333"/>
                <w:tab w:val="center" w:pos="3623"/>
              </w:tabs>
              <w:spacing w:line="0" w:lineRule="atLeast"/>
              <w:jc w:val="center"/>
              <w:rPr>
                <w:b/>
                <w:bCs/>
                <w:color w:val="000000"/>
                <w:kern w:val="0"/>
                <w:sz w:val="22"/>
                <w:szCs w:val="22"/>
              </w:rPr>
            </w:pPr>
            <w:r>
              <w:rPr>
                <w:b/>
                <w:bCs/>
                <w:color w:val="000000"/>
                <w:kern w:val="0"/>
                <w:sz w:val="22"/>
                <w:szCs w:val="22"/>
              </w:rPr>
              <w:t>得分率</w:t>
            </w:r>
          </w:p>
        </w:tc>
        <w:tc>
          <w:tcPr>
            <w:tcW w:w="1092" w:type="dxa"/>
            <w:shd w:val="clear" w:color="auto" w:fill="BFBFBF"/>
            <w:vAlign w:val="center"/>
          </w:tcPr>
          <w:p>
            <w:pPr>
              <w:widowControl/>
              <w:tabs>
                <w:tab w:val="left" w:pos="1333"/>
                <w:tab w:val="center" w:pos="3623"/>
              </w:tabs>
              <w:spacing w:line="0" w:lineRule="atLeast"/>
              <w:jc w:val="center"/>
              <w:rPr>
                <w:b/>
                <w:bCs/>
                <w:color w:val="000000"/>
                <w:kern w:val="0"/>
                <w:sz w:val="22"/>
                <w:szCs w:val="22"/>
              </w:rPr>
            </w:pPr>
            <w:r>
              <w:rPr>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restart"/>
            <w:shd w:val="clear" w:color="auto" w:fill="FFFFFF"/>
            <w:vAlign w:val="center"/>
          </w:tcPr>
          <w:p>
            <w:pPr>
              <w:widowControl/>
              <w:spacing w:line="0" w:lineRule="atLeast"/>
              <w:jc w:val="center"/>
              <w:rPr>
                <w:rFonts w:hint="eastAsia"/>
                <w:color w:val="000000"/>
                <w:kern w:val="0"/>
                <w:sz w:val="22"/>
                <w:szCs w:val="22"/>
                <w:lang w:eastAsia="zh-CN"/>
              </w:rPr>
            </w:pPr>
            <w:r>
              <w:rPr>
                <w:color w:val="000000"/>
                <w:kern w:val="0"/>
                <w:sz w:val="22"/>
                <w:szCs w:val="22"/>
              </w:rPr>
              <w:t>决策</w:t>
            </w:r>
          </w:p>
        </w:tc>
        <w:tc>
          <w:tcPr>
            <w:tcW w:w="990" w:type="dxa"/>
            <w:vMerge w:val="restart"/>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20</w:t>
            </w:r>
            <w:r>
              <w:rPr>
                <w:color w:val="000000"/>
                <w:kern w:val="0"/>
                <w:sz w:val="22"/>
                <w:szCs w:val="22"/>
              </w:rPr>
              <w:t>分</w:t>
            </w: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项目立项　</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立项依据</w:t>
            </w:r>
          </w:p>
          <w:p>
            <w:pPr>
              <w:widowControl/>
              <w:spacing w:line="0" w:lineRule="atLeast"/>
              <w:jc w:val="center"/>
              <w:rPr>
                <w:color w:val="000000"/>
                <w:kern w:val="0"/>
                <w:sz w:val="22"/>
                <w:szCs w:val="22"/>
              </w:rPr>
            </w:pPr>
            <w:r>
              <w:rPr>
                <w:color w:val="000000"/>
                <w:kern w:val="0"/>
                <w:sz w:val="22"/>
                <w:szCs w:val="22"/>
              </w:rPr>
              <w:t>充分性</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充分</w:t>
            </w:r>
          </w:p>
        </w:tc>
        <w:tc>
          <w:tcPr>
            <w:tcW w:w="102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充分</w:t>
            </w:r>
          </w:p>
        </w:tc>
        <w:tc>
          <w:tcPr>
            <w:tcW w:w="983" w:type="dxa"/>
            <w:shd w:val="clear" w:color="auto"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立项程序</w:t>
            </w:r>
          </w:p>
          <w:p>
            <w:pPr>
              <w:widowControl/>
              <w:spacing w:line="0" w:lineRule="atLeast"/>
              <w:jc w:val="center"/>
              <w:rPr>
                <w:color w:val="000000"/>
                <w:kern w:val="0"/>
                <w:sz w:val="22"/>
                <w:szCs w:val="22"/>
              </w:rPr>
            </w:pPr>
            <w:r>
              <w:rPr>
                <w:color w:val="000000"/>
                <w:kern w:val="0"/>
                <w:sz w:val="22"/>
                <w:szCs w:val="22"/>
              </w:rPr>
              <w:t>规范性</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规范</w:t>
            </w:r>
          </w:p>
        </w:tc>
        <w:tc>
          <w:tcPr>
            <w:tcW w:w="102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规范</w:t>
            </w:r>
          </w:p>
        </w:tc>
        <w:tc>
          <w:tcPr>
            <w:tcW w:w="983" w:type="dxa"/>
            <w:shd w:val="clear" w:color="auto"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83</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　</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w:t>
            </w:r>
          </w:p>
          <w:p>
            <w:pPr>
              <w:widowControl/>
              <w:spacing w:line="0" w:lineRule="atLeast"/>
              <w:jc w:val="center"/>
              <w:rPr>
                <w:color w:val="000000"/>
                <w:kern w:val="0"/>
                <w:sz w:val="22"/>
                <w:szCs w:val="22"/>
              </w:rPr>
            </w:pPr>
            <w:r>
              <w:rPr>
                <w:color w:val="000000"/>
                <w:kern w:val="0"/>
                <w:sz w:val="22"/>
                <w:szCs w:val="22"/>
              </w:rPr>
              <w:t>合理性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合理</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合理</w:t>
            </w:r>
          </w:p>
        </w:tc>
        <w:tc>
          <w:tcPr>
            <w:tcW w:w="983"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绩效指标</w:t>
            </w:r>
          </w:p>
          <w:p>
            <w:pPr>
              <w:widowControl/>
              <w:spacing w:line="0" w:lineRule="atLeast"/>
              <w:jc w:val="center"/>
              <w:rPr>
                <w:color w:val="000000"/>
                <w:kern w:val="0"/>
                <w:sz w:val="22"/>
                <w:szCs w:val="22"/>
              </w:rPr>
            </w:pPr>
            <w:r>
              <w:rPr>
                <w:color w:val="000000"/>
                <w:kern w:val="0"/>
                <w:sz w:val="22"/>
                <w:szCs w:val="22"/>
              </w:rPr>
              <w:t>明确性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明确</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明确</w:t>
            </w:r>
          </w:p>
        </w:tc>
        <w:tc>
          <w:tcPr>
            <w:tcW w:w="983"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资金投入</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预算编制</w:t>
            </w:r>
          </w:p>
          <w:p>
            <w:pPr>
              <w:widowControl/>
              <w:spacing w:line="0" w:lineRule="atLeast"/>
              <w:jc w:val="center"/>
              <w:rPr>
                <w:color w:val="000000"/>
                <w:kern w:val="0"/>
                <w:sz w:val="22"/>
                <w:szCs w:val="22"/>
              </w:rPr>
            </w:pPr>
            <w:r>
              <w:rPr>
                <w:color w:val="000000"/>
                <w:kern w:val="0"/>
                <w:sz w:val="22"/>
                <w:szCs w:val="22"/>
              </w:rPr>
              <w:t>科学性</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4</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科学</w:t>
            </w:r>
          </w:p>
        </w:tc>
        <w:tc>
          <w:tcPr>
            <w:tcW w:w="102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科学</w:t>
            </w:r>
          </w:p>
        </w:tc>
        <w:tc>
          <w:tcPr>
            <w:tcW w:w="983" w:type="dxa"/>
            <w:shd w:val="clear" w:color="auto"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资金分配</w:t>
            </w:r>
          </w:p>
          <w:p>
            <w:pPr>
              <w:widowControl/>
              <w:spacing w:line="0" w:lineRule="atLeast"/>
              <w:jc w:val="center"/>
              <w:rPr>
                <w:color w:val="000000"/>
                <w:kern w:val="0"/>
                <w:sz w:val="22"/>
                <w:szCs w:val="22"/>
              </w:rPr>
            </w:pPr>
            <w:r>
              <w:rPr>
                <w:color w:val="000000"/>
                <w:kern w:val="0"/>
                <w:sz w:val="22"/>
                <w:szCs w:val="22"/>
              </w:rPr>
              <w:t>合理性</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4</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合理</w:t>
            </w:r>
          </w:p>
        </w:tc>
        <w:tc>
          <w:tcPr>
            <w:tcW w:w="102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合理</w:t>
            </w:r>
          </w:p>
        </w:tc>
        <w:tc>
          <w:tcPr>
            <w:tcW w:w="983" w:type="dxa"/>
            <w:shd w:val="clear" w:color="auto"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过程</w:t>
            </w:r>
          </w:p>
          <w:p>
            <w:pPr>
              <w:widowControl/>
              <w:spacing w:line="0" w:lineRule="atLeast"/>
              <w:jc w:val="center"/>
              <w:rPr>
                <w:color w:val="000000"/>
                <w:kern w:val="0"/>
                <w:sz w:val="22"/>
                <w:szCs w:val="22"/>
              </w:rPr>
            </w:pPr>
            <w:r>
              <w:rPr>
                <w:color w:val="000000"/>
                <w:kern w:val="0"/>
                <w:sz w:val="22"/>
                <w:szCs w:val="22"/>
              </w:rPr>
              <w:t>　</w:t>
            </w:r>
          </w:p>
        </w:tc>
        <w:tc>
          <w:tcPr>
            <w:tcW w:w="990" w:type="dxa"/>
            <w:vMerge w:val="restart"/>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20</w:t>
            </w:r>
            <w:r>
              <w:rPr>
                <w:color w:val="000000"/>
                <w:kern w:val="0"/>
                <w:sz w:val="22"/>
                <w:szCs w:val="22"/>
              </w:rPr>
              <w:t>分</w:t>
            </w: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资金到位率</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2</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100%</w:t>
            </w:r>
          </w:p>
        </w:tc>
        <w:tc>
          <w:tcPr>
            <w:tcW w:w="1024"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983"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预算执行率</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5</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100%</w:t>
            </w:r>
          </w:p>
        </w:tc>
        <w:tc>
          <w:tcPr>
            <w:tcW w:w="1024"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94.93</w:t>
            </w:r>
            <w:r>
              <w:rPr>
                <w:color w:val="000000"/>
                <w:kern w:val="0"/>
                <w:sz w:val="22"/>
                <w:szCs w:val="22"/>
              </w:rPr>
              <w:t>%</w:t>
            </w:r>
          </w:p>
        </w:tc>
        <w:tc>
          <w:tcPr>
            <w:tcW w:w="983" w:type="dxa"/>
            <w:shd w:val="clear" w:color="auto"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94.93</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4.75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资金使用</w:t>
            </w:r>
          </w:p>
          <w:p>
            <w:pPr>
              <w:widowControl/>
              <w:spacing w:line="0" w:lineRule="atLeast"/>
              <w:jc w:val="center"/>
              <w:rPr>
                <w:color w:val="000000"/>
                <w:kern w:val="0"/>
                <w:sz w:val="22"/>
                <w:szCs w:val="22"/>
              </w:rPr>
            </w:pPr>
            <w:r>
              <w:rPr>
                <w:color w:val="000000"/>
                <w:kern w:val="0"/>
                <w:sz w:val="22"/>
                <w:szCs w:val="22"/>
              </w:rPr>
              <w:t>合规性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合格</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合格</w:t>
            </w:r>
          </w:p>
        </w:tc>
        <w:tc>
          <w:tcPr>
            <w:tcW w:w="983"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组织实施</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管理制度</w:t>
            </w:r>
          </w:p>
          <w:p>
            <w:pPr>
              <w:widowControl/>
              <w:spacing w:line="0" w:lineRule="atLeast"/>
              <w:jc w:val="center"/>
              <w:rPr>
                <w:color w:val="000000"/>
                <w:kern w:val="0"/>
                <w:sz w:val="22"/>
                <w:szCs w:val="22"/>
              </w:rPr>
            </w:pPr>
            <w:r>
              <w:rPr>
                <w:color w:val="000000"/>
                <w:kern w:val="0"/>
                <w:sz w:val="22"/>
                <w:szCs w:val="22"/>
              </w:rPr>
              <w:t>健全性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5</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健全</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健全</w:t>
            </w:r>
          </w:p>
        </w:tc>
        <w:tc>
          <w:tcPr>
            <w:tcW w:w="983"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90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highlight w:val="none"/>
                <w:lang w:val="en-US" w:eastAsia="zh-CN"/>
              </w:rPr>
            </w:pPr>
            <w:r>
              <w:rPr>
                <w:rFonts w:hint="eastAsia"/>
                <w:color w:val="000000"/>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6"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制度执行</w:t>
            </w:r>
          </w:p>
          <w:p>
            <w:pPr>
              <w:widowControl/>
              <w:spacing w:line="0" w:lineRule="atLeast"/>
              <w:jc w:val="center"/>
              <w:rPr>
                <w:color w:val="000000"/>
                <w:kern w:val="0"/>
                <w:sz w:val="22"/>
                <w:szCs w:val="22"/>
              </w:rPr>
            </w:pPr>
            <w:r>
              <w:rPr>
                <w:color w:val="000000"/>
                <w:kern w:val="0"/>
                <w:sz w:val="22"/>
                <w:szCs w:val="22"/>
              </w:rPr>
              <w:t>有效性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5</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有效</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有效</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highlight w:val="none"/>
                <w:lang w:val="en-US" w:eastAsia="zh-CN"/>
              </w:rPr>
            </w:pPr>
            <w:r>
              <w:rPr>
                <w:rFonts w:hint="eastAsia"/>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jc w:val="center"/>
        </w:trPr>
        <w:tc>
          <w:tcPr>
            <w:tcW w:w="1104"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产出</w:t>
            </w:r>
          </w:p>
        </w:tc>
        <w:tc>
          <w:tcPr>
            <w:tcW w:w="990" w:type="dxa"/>
            <w:vMerge w:val="restart"/>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3</w:t>
            </w:r>
            <w:r>
              <w:rPr>
                <w:rFonts w:hint="eastAsia"/>
                <w:color w:val="000000"/>
                <w:kern w:val="0"/>
                <w:sz w:val="22"/>
                <w:szCs w:val="22"/>
              </w:rPr>
              <w:t>0</w:t>
            </w:r>
            <w:r>
              <w:rPr>
                <w:color w:val="000000"/>
                <w:kern w:val="0"/>
                <w:sz w:val="22"/>
                <w:szCs w:val="22"/>
              </w:rPr>
              <w:t>分</w:t>
            </w:r>
          </w:p>
        </w:tc>
        <w:tc>
          <w:tcPr>
            <w:tcW w:w="1283"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产出数量</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实际完成率</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8</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100%</w:t>
            </w:r>
          </w:p>
        </w:tc>
        <w:tc>
          <w:tcPr>
            <w:tcW w:w="1024"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highlight w:val="none"/>
                <w:lang w:val="en-US" w:eastAsia="zh-CN"/>
              </w:rPr>
            </w:pPr>
            <w:r>
              <w:rPr>
                <w:rFonts w:hint="eastAsia"/>
                <w:color w:val="000000"/>
                <w:kern w:val="0"/>
                <w:sz w:val="22"/>
                <w:szCs w:val="22"/>
                <w:highlight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25"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产出质量</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质量达标率</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8</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100%</w:t>
            </w:r>
          </w:p>
        </w:tc>
        <w:tc>
          <w:tcPr>
            <w:tcW w:w="1024"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产出时效</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完成及时性</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7</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及时</w:t>
            </w:r>
          </w:p>
        </w:tc>
        <w:tc>
          <w:tcPr>
            <w:tcW w:w="1024"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及时</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31"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产出成本</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成本节约率</w:t>
            </w:r>
          </w:p>
        </w:tc>
        <w:tc>
          <w:tcPr>
            <w:tcW w:w="780" w:type="dxa"/>
            <w:shd w:val="clear" w:color="000000"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7</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100%</w:t>
            </w:r>
          </w:p>
        </w:tc>
        <w:tc>
          <w:tcPr>
            <w:tcW w:w="1024"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35" w:hRule="atLeast"/>
          <w:jc w:val="center"/>
        </w:trPr>
        <w:tc>
          <w:tcPr>
            <w:tcW w:w="1104"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效益　</w:t>
            </w:r>
          </w:p>
        </w:tc>
        <w:tc>
          <w:tcPr>
            <w:tcW w:w="990" w:type="dxa"/>
            <w:vMerge w:val="restart"/>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3</w:t>
            </w:r>
            <w:r>
              <w:rPr>
                <w:rFonts w:hint="eastAsia"/>
                <w:color w:val="000000"/>
                <w:kern w:val="0"/>
                <w:sz w:val="22"/>
                <w:szCs w:val="22"/>
              </w:rPr>
              <w:t>0</w:t>
            </w:r>
            <w:r>
              <w:rPr>
                <w:color w:val="000000"/>
                <w:kern w:val="0"/>
                <w:sz w:val="22"/>
                <w:szCs w:val="22"/>
              </w:rPr>
              <w:t>分</w:t>
            </w:r>
          </w:p>
        </w:tc>
        <w:tc>
          <w:tcPr>
            <w:tcW w:w="1283"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项目效益　</w:t>
            </w:r>
          </w:p>
        </w:tc>
        <w:tc>
          <w:tcPr>
            <w:tcW w:w="176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社会效益、经济效益</w:t>
            </w:r>
          </w:p>
        </w:tc>
        <w:tc>
          <w:tcPr>
            <w:tcW w:w="780"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15</w:t>
            </w:r>
          </w:p>
        </w:tc>
        <w:tc>
          <w:tcPr>
            <w:tcW w:w="936"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有效</w:t>
            </w:r>
          </w:p>
        </w:tc>
        <w:tc>
          <w:tcPr>
            <w:tcW w:w="102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有效</w:t>
            </w:r>
          </w:p>
        </w:tc>
        <w:tc>
          <w:tcPr>
            <w:tcW w:w="983"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shd w:val="clear" w:color="auto" w:fill="FFFFFF"/>
            <w:vAlign w:val="center"/>
          </w:tcPr>
          <w:p>
            <w:pPr>
              <w:widowControl/>
              <w:spacing w:line="0" w:lineRule="atLeast"/>
              <w:jc w:val="center"/>
              <w:rPr>
                <w:rFonts w:hint="eastAsia"/>
                <w:color w:val="000000"/>
                <w:kern w:val="0"/>
                <w:sz w:val="22"/>
                <w:szCs w:val="22"/>
                <w:lang w:val="en-US" w:eastAsia="zh-CN"/>
              </w:rPr>
            </w:pPr>
            <w:r>
              <w:rPr>
                <w:rFonts w:hint="eastAsia"/>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7" w:hRule="atLeast"/>
          <w:jc w:val="center"/>
        </w:trPr>
        <w:tc>
          <w:tcPr>
            <w:tcW w:w="1104" w:type="dxa"/>
            <w:vMerge w:val="continue"/>
            <w:shd w:val="clear" w:color="auto" w:fill="FFFFFF"/>
            <w:vAlign w:val="center"/>
          </w:tcPr>
          <w:p>
            <w:pPr>
              <w:widowControl/>
              <w:spacing w:line="0" w:lineRule="atLeast"/>
              <w:jc w:val="center"/>
              <w:rPr>
                <w:color w:val="000000"/>
                <w:kern w:val="0"/>
                <w:sz w:val="22"/>
                <w:szCs w:val="22"/>
              </w:rPr>
            </w:pPr>
          </w:p>
        </w:tc>
        <w:tc>
          <w:tcPr>
            <w:tcW w:w="990" w:type="dxa"/>
            <w:vMerge w:val="continue"/>
            <w:shd w:val="clear" w:color="auto" w:fill="FFFFFF"/>
            <w:vAlign w:val="center"/>
          </w:tcPr>
          <w:p>
            <w:pPr>
              <w:widowControl/>
              <w:spacing w:line="0" w:lineRule="atLeast"/>
              <w:jc w:val="center"/>
              <w:rPr>
                <w:color w:val="000000"/>
                <w:kern w:val="0"/>
                <w:sz w:val="22"/>
                <w:szCs w:val="22"/>
              </w:rPr>
            </w:pPr>
          </w:p>
        </w:tc>
        <w:tc>
          <w:tcPr>
            <w:tcW w:w="1283" w:type="dxa"/>
            <w:vMerge w:val="continue"/>
            <w:shd w:val="clear" w:color="auto" w:fill="FFFFFF"/>
            <w:vAlign w:val="center"/>
          </w:tcPr>
          <w:p>
            <w:pPr>
              <w:widowControl/>
              <w:spacing w:line="0" w:lineRule="atLeast"/>
              <w:jc w:val="center"/>
              <w:rPr>
                <w:color w:val="000000"/>
                <w:kern w:val="0"/>
                <w:sz w:val="22"/>
                <w:szCs w:val="22"/>
              </w:rPr>
            </w:pPr>
          </w:p>
        </w:tc>
        <w:tc>
          <w:tcPr>
            <w:tcW w:w="176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满意度</w:t>
            </w:r>
          </w:p>
        </w:tc>
        <w:tc>
          <w:tcPr>
            <w:tcW w:w="780" w:type="dxa"/>
            <w:vMerge w:val="restart"/>
            <w:shd w:val="clear" w:color="000000" w:fill="FFFFFF"/>
            <w:vAlign w:val="center"/>
          </w:tcPr>
          <w:p>
            <w:pPr>
              <w:widowControl/>
              <w:spacing w:line="0" w:lineRule="atLeast"/>
              <w:jc w:val="center"/>
              <w:rPr>
                <w:rFonts w:hint="default"/>
                <w:color w:val="000000"/>
                <w:kern w:val="0"/>
                <w:sz w:val="22"/>
                <w:szCs w:val="22"/>
                <w:lang w:val="en-US" w:eastAsia="zh-CN"/>
              </w:rPr>
            </w:pPr>
            <w:r>
              <w:rPr>
                <w:rFonts w:hint="eastAsia"/>
                <w:color w:val="000000"/>
                <w:kern w:val="0"/>
                <w:sz w:val="22"/>
                <w:szCs w:val="22"/>
                <w:lang w:val="en-US" w:eastAsia="zh-CN"/>
              </w:rPr>
              <w:t>15</w:t>
            </w:r>
          </w:p>
        </w:tc>
        <w:tc>
          <w:tcPr>
            <w:tcW w:w="936" w:type="dxa"/>
            <w:shd w:val="clear" w:color="000000" w:fill="FFFFFF"/>
            <w:vAlign w:val="center"/>
          </w:tcPr>
          <w:p>
            <w:pPr>
              <w:widowControl/>
              <w:spacing w:line="0" w:lineRule="atLeast"/>
              <w:jc w:val="center"/>
              <w:rPr>
                <w:color w:val="000000"/>
                <w:kern w:val="0"/>
                <w:sz w:val="22"/>
                <w:szCs w:val="22"/>
              </w:rPr>
            </w:pPr>
            <w:r>
              <w:rPr>
                <w:color w:val="000000"/>
                <w:kern w:val="0"/>
                <w:sz w:val="22"/>
                <w:szCs w:val="22"/>
              </w:rPr>
              <w:t>≥</w:t>
            </w:r>
            <w:r>
              <w:rPr>
                <w:rFonts w:hint="eastAsia"/>
                <w:color w:val="000000"/>
                <w:kern w:val="0"/>
                <w:sz w:val="22"/>
                <w:szCs w:val="22"/>
                <w:lang w:val="en-US" w:eastAsia="zh-CN"/>
              </w:rPr>
              <w:t>95</w:t>
            </w:r>
            <w:r>
              <w:rPr>
                <w:color w:val="000000"/>
                <w:kern w:val="0"/>
                <w:sz w:val="22"/>
                <w:szCs w:val="22"/>
              </w:rPr>
              <w:t>%</w:t>
            </w:r>
          </w:p>
        </w:tc>
        <w:tc>
          <w:tcPr>
            <w:tcW w:w="1024"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98.5.</w:t>
            </w:r>
            <w:r>
              <w:rPr>
                <w:color w:val="000000"/>
                <w:kern w:val="0"/>
                <w:sz w:val="22"/>
                <w:szCs w:val="22"/>
              </w:rPr>
              <w:t>%</w:t>
            </w:r>
          </w:p>
        </w:tc>
        <w:tc>
          <w:tcPr>
            <w:tcW w:w="983" w:type="dxa"/>
            <w:shd w:val="clear" w:color="000000" w:fill="FFFFFF"/>
            <w:vAlign w:val="center"/>
          </w:tcPr>
          <w:p>
            <w:pPr>
              <w:widowControl/>
              <w:spacing w:line="0" w:lineRule="atLeast"/>
              <w:jc w:val="center"/>
              <w:rPr>
                <w:color w:val="000000"/>
                <w:kern w:val="0"/>
                <w:sz w:val="22"/>
                <w:szCs w:val="22"/>
              </w:rPr>
            </w:pPr>
            <w:r>
              <w:rPr>
                <w:rFonts w:hint="eastAsia"/>
                <w:color w:val="000000"/>
                <w:kern w:val="0"/>
                <w:sz w:val="22"/>
                <w:szCs w:val="22"/>
                <w:lang w:val="en-US" w:eastAsia="zh-CN"/>
              </w:rPr>
              <w:t>100</w:t>
            </w:r>
            <w:r>
              <w:rPr>
                <w:color w:val="000000"/>
                <w:kern w:val="0"/>
                <w:sz w:val="22"/>
                <w:szCs w:val="22"/>
              </w:rPr>
              <w:t>%</w:t>
            </w:r>
          </w:p>
        </w:tc>
        <w:tc>
          <w:tcPr>
            <w:tcW w:w="1092" w:type="dxa"/>
            <w:vMerge w:val="restart"/>
            <w:shd w:val="clear" w:color="000000" w:fill="FFFFFF"/>
            <w:vAlign w:val="center"/>
          </w:tcPr>
          <w:p>
            <w:pPr>
              <w:widowControl/>
              <w:spacing w:line="0" w:lineRule="atLeast"/>
              <w:jc w:val="center"/>
              <w:rPr>
                <w:rFonts w:hint="eastAsia"/>
                <w:color w:val="000000"/>
                <w:kern w:val="0"/>
                <w:sz w:val="22"/>
                <w:szCs w:val="22"/>
                <w:lang w:eastAsia="zh-CN"/>
              </w:rPr>
            </w:pPr>
            <w:r>
              <w:rPr>
                <w:rFonts w:hint="eastAsia"/>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1" w:hRule="atLeast"/>
          <w:jc w:val="center"/>
        </w:trPr>
        <w:tc>
          <w:tcPr>
            <w:tcW w:w="1104" w:type="dxa"/>
            <w:vMerge w:val="continue"/>
            <w:shd w:val="clear" w:color="auto" w:fill="FFFFFF"/>
            <w:vAlign w:val="center"/>
          </w:tcPr>
          <w:p>
            <w:pPr>
              <w:widowControl/>
              <w:spacing w:line="0" w:lineRule="atLeast"/>
              <w:jc w:val="center"/>
              <w:rPr>
                <w:color w:val="auto"/>
                <w:kern w:val="0"/>
                <w:sz w:val="22"/>
                <w:szCs w:val="22"/>
              </w:rPr>
            </w:pPr>
          </w:p>
        </w:tc>
        <w:tc>
          <w:tcPr>
            <w:tcW w:w="990" w:type="dxa"/>
            <w:vMerge w:val="continue"/>
            <w:shd w:val="clear" w:color="auto" w:fill="FFFFFF"/>
            <w:vAlign w:val="center"/>
          </w:tcPr>
          <w:p>
            <w:pPr>
              <w:widowControl/>
              <w:spacing w:line="0" w:lineRule="atLeast"/>
              <w:jc w:val="center"/>
              <w:rPr>
                <w:color w:val="auto"/>
                <w:kern w:val="0"/>
                <w:sz w:val="22"/>
                <w:szCs w:val="22"/>
              </w:rPr>
            </w:pPr>
          </w:p>
        </w:tc>
        <w:tc>
          <w:tcPr>
            <w:tcW w:w="1283" w:type="dxa"/>
            <w:vMerge w:val="continue"/>
            <w:shd w:val="clear" w:color="auto" w:fill="FFFFFF"/>
            <w:vAlign w:val="center"/>
          </w:tcPr>
          <w:p>
            <w:pPr>
              <w:widowControl/>
              <w:spacing w:line="0" w:lineRule="atLeast"/>
              <w:jc w:val="center"/>
              <w:rPr>
                <w:color w:val="auto"/>
                <w:kern w:val="0"/>
                <w:sz w:val="22"/>
                <w:szCs w:val="22"/>
              </w:rPr>
            </w:pPr>
          </w:p>
        </w:tc>
        <w:tc>
          <w:tcPr>
            <w:tcW w:w="1762" w:type="dxa"/>
            <w:vMerge w:val="continue"/>
            <w:shd w:val="clear" w:color="auto" w:fill="FFFFFF"/>
            <w:vAlign w:val="center"/>
          </w:tcPr>
          <w:p>
            <w:pPr>
              <w:widowControl/>
              <w:spacing w:line="0" w:lineRule="atLeast"/>
              <w:jc w:val="center"/>
              <w:rPr>
                <w:color w:val="auto"/>
                <w:kern w:val="0"/>
                <w:sz w:val="22"/>
                <w:szCs w:val="22"/>
              </w:rPr>
            </w:pPr>
          </w:p>
        </w:tc>
        <w:tc>
          <w:tcPr>
            <w:tcW w:w="780" w:type="dxa"/>
            <w:vMerge w:val="continue"/>
            <w:shd w:val="clear" w:color="000000" w:fill="FFFFFF"/>
            <w:vAlign w:val="center"/>
          </w:tcPr>
          <w:p>
            <w:pPr>
              <w:widowControl/>
              <w:spacing w:line="0" w:lineRule="atLeast"/>
              <w:jc w:val="center"/>
              <w:rPr>
                <w:rFonts w:hint="eastAsia"/>
                <w:color w:val="auto"/>
                <w:kern w:val="0"/>
                <w:sz w:val="22"/>
                <w:szCs w:val="22"/>
                <w:highlight w:val="none"/>
                <w:lang w:val="en-US" w:eastAsia="zh-CN"/>
              </w:rPr>
            </w:pPr>
          </w:p>
        </w:tc>
        <w:tc>
          <w:tcPr>
            <w:tcW w:w="936" w:type="dxa"/>
            <w:shd w:val="clear" w:color="000000"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w:t>
            </w:r>
            <w:r>
              <w:rPr>
                <w:rFonts w:hint="eastAsia"/>
                <w:color w:val="auto"/>
                <w:kern w:val="0"/>
                <w:sz w:val="22"/>
                <w:szCs w:val="22"/>
                <w:highlight w:val="none"/>
                <w:lang w:val="en-US" w:eastAsia="zh-CN"/>
              </w:rPr>
              <w:t>95</w:t>
            </w:r>
            <w:r>
              <w:rPr>
                <w:color w:val="auto"/>
                <w:kern w:val="0"/>
                <w:sz w:val="22"/>
                <w:szCs w:val="22"/>
                <w:highlight w:val="none"/>
              </w:rPr>
              <w:t>%</w:t>
            </w:r>
          </w:p>
        </w:tc>
        <w:tc>
          <w:tcPr>
            <w:tcW w:w="1024" w:type="dxa"/>
            <w:shd w:val="clear" w:color="000000" w:fill="FFFFFF"/>
            <w:vAlign w:val="center"/>
          </w:tcPr>
          <w:p>
            <w:pPr>
              <w:widowControl/>
              <w:spacing w:line="0" w:lineRule="atLeast"/>
              <w:jc w:val="center"/>
              <w:rPr>
                <w:rFonts w:hint="eastAsia"/>
                <w:color w:val="auto"/>
                <w:kern w:val="0"/>
                <w:sz w:val="22"/>
                <w:szCs w:val="22"/>
                <w:highlight w:val="none"/>
                <w:lang w:val="en-US" w:eastAsia="zh-CN"/>
              </w:rPr>
            </w:pPr>
            <w:r>
              <w:rPr>
                <w:rFonts w:hint="eastAsia"/>
                <w:color w:val="auto"/>
                <w:kern w:val="0"/>
                <w:sz w:val="22"/>
                <w:szCs w:val="22"/>
                <w:highlight w:val="none"/>
                <w:lang w:val="en-US" w:eastAsia="zh-CN"/>
              </w:rPr>
              <w:t>99.1%</w:t>
            </w:r>
          </w:p>
        </w:tc>
        <w:tc>
          <w:tcPr>
            <w:tcW w:w="983" w:type="dxa"/>
            <w:shd w:val="clear" w:color="000000" w:fill="FFFFFF"/>
            <w:vAlign w:val="center"/>
          </w:tcPr>
          <w:p>
            <w:pPr>
              <w:widowControl/>
              <w:spacing w:line="0" w:lineRule="atLeast"/>
              <w:jc w:val="center"/>
              <w:rPr>
                <w:rFonts w:hint="eastAsia"/>
                <w:color w:val="auto"/>
                <w:kern w:val="0"/>
                <w:sz w:val="22"/>
                <w:szCs w:val="22"/>
                <w:highlight w:val="none"/>
                <w:lang w:val="en-US" w:eastAsia="zh-CN"/>
              </w:rPr>
            </w:pPr>
            <w:r>
              <w:rPr>
                <w:rFonts w:hint="eastAsia"/>
                <w:color w:val="auto"/>
                <w:kern w:val="0"/>
                <w:sz w:val="22"/>
                <w:szCs w:val="22"/>
                <w:highlight w:val="none"/>
                <w:lang w:val="en-US" w:eastAsia="zh-CN"/>
              </w:rPr>
              <w:t>100%</w:t>
            </w:r>
          </w:p>
        </w:tc>
        <w:tc>
          <w:tcPr>
            <w:tcW w:w="1092" w:type="dxa"/>
            <w:vMerge w:val="continue"/>
            <w:shd w:val="clear" w:color="000000" w:fill="FFFFFF"/>
            <w:vAlign w:val="center"/>
          </w:tcPr>
          <w:p>
            <w:pPr>
              <w:widowControl/>
              <w:spacing w:line="0" w:lineRule="atLeast"/>
              <w:jc w:val="center"/>
              <w:rPr>
                <w:rFonts w:hint="eastAsia"/>
                <w:color w:val="auto"/>
                <w:kern w:val="0"/>
                <w:sz w:val="22"/>
                <w:szCs w:val="22"/>
                <w:highlight w:val="none"/>
                <w:lang w:val="en-US" w:eastAsia="zh-CN"/>
              </w:rPr>
            </w:pPr>
          </w:p>
        </w:tc>
      </w:tr>
    </w:tbl>
    <w:p>
      <w:pPr>
        <w:spacing w:beforeLines="0" w:afterLines="0" w:line="560" w:lineRule="exact"/>
        <w:rPr>
          <w:rFonts w:eastAsia="黑体"/>
          <w:sz w:val="32"/>
          <w:szCs w:val="32"/>
        </w:rPr>
      </w:pPr>
      <w:r>
        <w:rPr>
          <w:rFonts w:hint="eastAsia" w:eastAsia="黑体"/>
          <w:sz w:val="32"/>
          <w:szCs w:val="32"/>
          <w:lang w:val="en-US" w:eastAsia="zh-CN"/>
        </w:rPr>
        <w:t xml:space="preserve">    </w:t>
      </w:r>
      <w:r>
        <w:rPr>
          <w:rFonts w:eastAsia="黑体"/>
          <w:sz w:val="32"/>
          <w:szCs w:val="32"/>
        </w:rPr>
        <w:t>四、绩效评价指标分析</w:t>
      </w:r>
    </w:p>
    <w:p>
      <w:pPr>
        <w:numPr>
          <w:ilvl w:val="0"/>
          <w:numId w:val="4"/>
        </w:numPr>
        <w:spacing w:beforeLines="0" w:afterLines="0" w:line="560" w:lineRule="exact"/>
        <w:ind w:firstLine="602" w:firstLineChars="200"/>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b/>
          <w:bCs/>
          <w:sz w:val="32"/>
          <w:szCs w:val="32"/>
          <w:highlight w:val="none"/>
          <w:lang w:val="en-US" w:eastAsia="zh-CN"/>
        </w:rPr>
        <w:t>项目决策情况</w:t>
      </w:r>
    </w:p>
    <w:p>
      <w:pPr>
        <w:numPr>
          <w:ilvl w:val="0"/>
          <w:numId w:val="0"/>
        </w:numPr>
        <w:spacing w:beforeLines="0" w:afterLines="0" w:line="560" w:lineRule="exact"/>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 xml:space="preserve">    1.</w:t>
      </w:r>
      <w:r>
        <w:rPr>
          <w:rFonts w:hint="eastAsia" w:ascii="方正仿宋_GBK" w:hAnsi="方正仿宋_GBK" w:eastAsia="方正仿宋_GBK" w:cs="方正仿宋_GBK"/>
          <w:b/>
          <w:bCs/>
          <w:color w:val="auto"/>
          <w:sz w:val="32"/>
          <w:szCs w:val="32"/>
        </w:rPr>
        <w:t>立项依据充分性</w:t>
      </w:r>
    </w:p>
    <w:p>
      <w:pPr>
        <w:spacing w:beforeLines="0" w:afterLines="0" w:line="560" w:lineRule="exact"/>
        <w:ind w:firstLine="664" w:firstLineChars="200"/>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pacing w:val="6"/>
          <w:sz w:val="32"/>
          <w:szCs w:val="32"/>
          <w:lang w:eastAsia="zh-CN"/>
        </w:rPr>
        <w:t>严格按照</w:t>
      </w:r>
      <w:r>
        <w:rPr>
          <w:rFonts w:hint="eastAsia" w:ascii="方正仿宋_GBK" w:hAnsi="方正仿宋_GBK" w:eastAsia="方正仿宋_GBK" w:cs="方正仿宋_GBK"/>
          <w:spacing w:val="6"/>
          <w:sz w:val="32"/>
          <w:szCs w:val="32"/>
        </w:rPr>
        <w:t>《彩票管理条例》</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spacing w:val="6"/>
          <w:sz w:val="32"/>
          <w:szCs w:val="32"/>
        </w:rPr>
        <w:t>《彩票管理条例实施细则》</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spacing w:val="6"/>
          <w:sz w:val="32"/>
          <w:szCs w:val="32"/>
        </w:rPr>
        <w:t>《彩票机构财务管理办法》</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z w:val="32"/>
          <w:szCs w:val="32"/>
          <w:lang w:val="en-US" w:eastAsia="zh-CN"/>
        </w:rPr>
        <w:t>《中华人民共和国</w:t>
      </w:r>
      <w:r>
        <w:rPr>
          <w:rFonts w:hint="eastAsia" w:ascii="方正仿宋_GBK" w:hAnsi="方正仿宋_GBK" w:eastAsia="方正仿宋_GBK" w:cs="方正仿宋_GBK"/>
          <w:color w:val="auto"/>
          <w:sz w:val="32"/>
          <w:szCs w:val="32"/>
        </w:rPr>
        <w:t>预算法》及《预算法实施条例》</w:t>
      </w:r>
      <w:r>
        <w:rPr>
          <w:rFonts w:hint="eastAsia" w:ascii="方正仿宋_GBK" w:hAnsi="方正仿宋_GBK" w:eastAsia="方正仿宋_GBK" w:cs="方正仿宋_GBK"/>
          <w:color w:val="auto"/>
          <w:sz w:val="32"/>
          <w:szCs w:val="32"/>
          <w:lang w:eastAsia="zh-CN"/>
        </w:rPr>
        <w:t>相关规定，</w:t>
      </w:r>
      <w:r>
        <w:rPr>
          <w:rFonts w:hint="eastAsia" w:ascii="方正仿宋_GBK" w:hAnsi="方正仿宋_GBK" w:eastAsia="方正仿宋_GBK" w:cs="方正仿宋_GBK"/>
          <w:color w:val="auto"/>
          <w:spacing w:val="6"/>
          <w:sz w:val="32"/>
          <w:szCs w:val="32"/>
          <w:lang w:val="en-US" w:eastAsia="zh-CN"/>
        </w:rPr>
        <w:t>本着</w:t>
      </w:r>
      <w:r>
        <w:rPr>
          <w:rFonts w:hint="eastAsia" w:ascii="方正仿宋_GBK" w:hAnsi="方正仿宋_GBK" w:eastAsia="方正仿宋_GBK" w:cs="方正仿宋_GBK"/>
          <w:color w:val="auto"/>
          <w:sz w:val="32"/>
          <w:szCs w:val="32"/>
          <w:lang w:eastAsia="zh-CN"/>
        </w:rPr>
        <w:t>提高项目资金的预算执行效率和资金使用效益、确保财政资金使用安全的原则，紧扣</w:t>
      </w:r>
      <w:r>
        <w:rPr>
          <w:rFonts w:hint="eastAsia" w:ascii="方正仿宋_GBK" w:hAnsi="方正仿宋_GBK" w:eastAsia="方正仿宋_GBK" w:cs="方正仿宋_GBK"/>
          <w:color w:val="auto"/>
          <w:spacing w:val="6"/>
          <w:sz w:val="32"/>
          <w:szCs w:val="32"/>
          <w:lang w:val="en-US" w:eastAsia="zh-CN"/>
        </w:rPr>
        <w:t>2022年福利彩票销售工作任务落实和工作计划实施的需要，</w:t>
      </w:r>
      <w:r>
        <w:rPr>
          <w:rFonts w:hint="eastAsia" w:ascii="方正仿宋_GBK" w:hAnsi="方正仿宋_GBK" w:eastAsia="方正仿宋_GBK" w:cs="方正仿宋_GBK"/>
          <w:color w:val="auto"/>
          <w:sz w:val="32"/>
          <w:szCs w:val="32"/>
          <w:lang w:eastAsia="zh-CN"/>
        </w:rPr>
        <w:t>开展项目资金使用立项工作。</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2.</w:t>
      </w:r>
      <w:r>
        <w:rPr>
          <w:rFonts w:hint="eastAsia" w:ascii="方正仿宋_GBK" w:hAnsi="方正仿宋_GBK" w:eastAsia="方正仿宋_GBK" w:cs="方正仿宋_GBK"/>
          <w:b/>
          <w:bCs/>
          <w:color w:val="auto"/>
          <w:sz w:val="32"/>
          <w:szCs w:val="32"/>
        </w:rPr>
        <w:t>立项程序规范性</w:t>
      </w:r>
    </w:p>
    <w:p>
      <w:pPr>
        <w:spacing w:beforeLines="0" w:afterLines="0" w:line="560" w:lineRule="exact"/>
        <w:ind w:firstLine="664" w:firstLineChars="20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eastAsia="zh-CN"/>
        </w:rPr>
        <w:t>按照财务预算收支计划申报审批流程申报项目支出计划，各项目年初预算经</w:t>
      </w:r>
      <w:r>
        <w:rPr>
          <w:rFonts w:hint="eastAsia" w:ascii="方正仿宋_GBK" w:hAnsi="方正仿宋_GBK" w:eastAsia="方正仿宋_GBK" w:cs="方正仿宋_GBK"/>
          <w:spacing w:val="6"/>
          <w:sz w:val="32"/>
          <w:szCs w:val="32"/>
        </w:rPr>
        <w:t>自治区财政厅</w:t>
      </w:r>
      <w:r>
        <w:rPr>
          <w:rFonts w:hint="eastAsia" w:ascii="方正仿宋_GBK" w:hAnsi="方正仿宋_GBK" w:eastAsia="方正仿宋_GBK" w:cs="方正仿宋_GBK"/>
          <w:spacing w:val="6"/>
          <w:sz w:val="32"/>
          <w:szCs w:val="32"/>
          <w:lang w:eastAsia="zh-CN"/>
        </w:rPr>
        <w:t>批准，年度项目支出通过我中心党支部委员会</w:t>
      </w:r>
      <w:r>
        <w:rPr>
          <w:rFonts w:hint="eastAsia" w:ascii="方正仿宋_GBK" w:hAnsi="方正仿宋_GBK" w:eastAsia="方正仿宋_GBK" w:cs="方正仿宋_GBK"/>
          <w:spacing w:val="6"/>
          <w:sz w:val="32"/>
          <w:szCs w:val="32"/>
        </w:rPr>
        <w:t>集体</w:t>
      </w:r>
      <w:r>
        <w:rPr>
          <w:rFonts w:hint="eastAsia" w:ascii="方正仿宋_GBK" w:hAnsi="方正仿宋_GBK" w:eastAsia="方正仿宋_GBK" w:cs="方正仿宋_GBK"/>
          <w:spacing w:val="6"/>
          <w:sz w:val="32"/>
          <w:szCs w:val="32"/>
          <w:lang w:eastAsia="zh-CN"/>
        </w:rPr>
        <w:t>研究</w:t>
      </w:r>
      <w:r>
        <w:rPr>
          <w:rFonts w:hint="eastAsia" w:ascii="方正仿宋_GBK" w:hAnsi="方正仿宋_GBK" w:eastAsia="方正仿宋_GBK" w:cs="方正仿宋_GBK"/>
          <w:spacing w:val="6"/>
          <w:sz w:val="32"/>
          <w:szCs w:val="32"/>
        </w:rPr>
        <w:t>决策</w:t>
      </w:r>
      <w:r>
        <w:rPr>
          <w:rFonts w:hint="eastAsia" w:ascii="方正仿宋_GBK" w:hAnsi="方正仿宋_GBK" w:eastAsia="方正仿宋_GBK" w:cs="方正仿宋_GBK"/>
          <w:spacing w:val="6"/>
          <w:sz w:val="32"/>
          <w:szCs w:val="32"/>
          <w:lang w:eastAsia="zh-CN"/>
        </w:rPr>
        <w:t>，大额资金使用经民政厅党组</w:t>
      </w:r>
      <w:r>
        <w:rPr>
          <w:rFonts w:hint="eastAsia" w:ascii="方正仿宋_GBK" w:hAnsi="方正仿宋_GBK" w:eastAsia="方正仿宋_GBK" w:cs="方正仿宋_GBK"/>
          <w:spacing w:val="6"/>
          <w:sz w:val="32"/>
          <w:szCs w:val="32"/>
        </w:rPr>
        <w:t>集体</w:t>
      </w:r>
      <w:r>
        <w:rPr>
          <w:rFonts w:hint="eastAsia" w:ascii="方正仿宋_GBK" w:hAnsi="方正仿宋_GBK" w:eastAsia="方正仿宋_GBK" w:cs="方正仿宋_GBK"/>
          <w:spacing w:val="6"/>
          <w:sz w:val="32"/>
          <w:szCs w:val="32"/>
          <w:lang w:eastAsia="zh-CN"/>
        </w:rPr>
        <w:t>研究</w:t>
      </w:r>
      <w:r>
        <w:rPr>
          <w:rFonts w:hint="eastAsia" w:ascii="方正仿宋_GBK" w:hAnsi="方正仿宋_GBK" w:eastAsia="方正仿宋_GBK" w:cs="方正仿宋_GBK"/>
          <w:spacing w:val="6"/>
          <w:sz w:val="32"/>
          <w:szCs w:val="32"/>
        </w:rPr>
        <w:t>决策</w:t>
      </w:r>
      <w:r>
        <w:rPr>
          <w:rFonts w:hint="eastAsia" w:ascii="方正仿宋_GBK" w:hAnsi="方正仿宋_GBK" w:eastAsia="方正仿宋_GBK" w:cs="方正仿宋_GBK"/>
          <w:spacing w:val="6"/>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绩效目标合理性</w:t>
      </w:r>
    </w:p>
    <w:p>
      <w:pPr>
        <w:spacing w:beforeLines="0" w:afterLines="0" w:line="560" w:lineRule="exact"/>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spacing w:val="6"/>
          <w:sz w:val="32"/>
          <w:szCs w:val="32"/>
          <w:lang w:val="en-US" w:eastAsia="zh-CN"/>
        </w:rPr>
        <w:t xml:space="preserve">   </w:t>
      </w:r>
      <w:r>
        <w:rPr>
          <w:rFonts w:hint="eastAsia" w:ascii="方正仿宋_GBK" w:hAnsi="方正仿宋_GBK" w:eastAsia="方正仿宋_GBK" w:cs="方正仿宋_GBK"/>
          <w:color w:val="auto"/>
          <w:spacing w:val="6"/>
          <w:sz w:val="32"/>
          <w:szCs w:val="32"/>
          <w:lang w:eastAsia="zh-CN"/>
        </w:rPr>
        <w:t>围绕彩票</w:t>
      </w:r>
      <w:r>
        <w:rPr>
          <w:rFonts w:hint="eastAsia" w:ascii="方正仿宋_GBK" w:hAnsi="方正仿宋_GBK" w:eastAsia="方正仿宋_GBK" w:cs="方正仿宋_GBK"/>
          <w:color w:val="auto"/>
          <w:spacing w:val="6"/>
          <w:sz w:val="32"/>
          <w:szCs w:val="32"/>
        </w:rPr>
        <w:t>销售计划</w:t>
      </w:r>
      <w:r>
        <w:rPr>
          <w:rFonts w:hint="eastAsia" w:ascii="方正仿宋_GBK" w:hAnsi="方正仿宋_GBK" w:eastAsia="方正仿宋_GBK" w:cs="方正仿宋_GBK"/>
          <w:color w:val="auto"/>
          <w:spacing w:val="6"/>
          <w:sz w:val="32"/>
          <w:szCs w:val="32"/>
          <w:lang w:eastAsia="zh-CN"/>
        </w:rPr>
        <w:t>和</w:t>
      </w:r>
      <w:r>
        <w:rPr>
          <w:rFonts w:hint="eastAsia" w:ascii="方正仿宋_GBK" w:hAnsi="方正仿宋_GBK" w:eastAsia="方正仿宋_GBK" w:cs="方正仿宋_GBK"/>
          <w:color w:val="auto"/>
          <w:spacing w:val="6"/>
          <w:sz w:val="32"/>
          <w:szCs w:val="32"/>
        </w:rPr>
        <w:t>筹集公益金的目标任务，设置</w:t>
      </w:r>
      <w:r>
        <w:rPr>
          <w:rFonts w:hint="eastAsia" w:ascii="方正仿宋_GBK" w:hAnsi="方正仿宋_GBK" w:eastAsia="方正仿宋_GBK" w:cs="方正仿宋_GBK"/>
          <w:color w:val="auto"/>
          <w:spacing w:val="6"/>
          <w:sz w:val="32"/>
          <w:szCs w:val="32"/>
          <w:lang w:eastAsia="zh-CN"/>
        </w:rPr>
        <w:t>项目支出绩效目标，项目绩效目标与销售任务和业务开展密切关联，项目实施结果实现了</w:t>
      </w:r>
      <w:r>
        <w:rPr>
          <w:rFonts w:hint="eastAsia" w:ascii="方正仿宋_GBK" w:hAnsi="方正仿宋_GBK" w:eastAsia="方正仿宋_GBK" w:cs="方正仿宋_GBK"/>
          <w:color w:val="auto"/>
          <w:spacing w:val="6"/>
          <w:sz w:val="32"/>
          <w:szCs w:val="32"/>
        </w:rPr>
        <w:t>预期的产出效益。</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绩效指标明确性</w:t>
      </w:r>
    </w:p>
    <w:p>
      <w:pPr>
        <w:pStyle w:val="8"/>
        <w:spacing w:beforeLines="0" w:afterLines="0" w:line="560" w:lineRule="exact"/>
        <w:jc w:val="both"/>
        <w:rPr>
          <w:rFonts w:hint="eastAsia" w:ascii="方正仿宋_GBK" w:hAnsi="方正仿宋_GBK" w:eastAsia="方正仿宋_GBK" w:cs="方正仿宋_GBK"/>
          <w:b w:val="0"/>
          <w:spacing w:val="6"/>
          <w:sz w:val="32"/>
          <w:szCs w:val="32"/>
          <w:lang w:val="en-US" w:eastAsia="zh-CN"/>
        </w:rPr>
      </w:pPr>
      <w:r>
        <w:rPr>
          <w:rFonts w:hint="eastAsia" w:ascii="方正仿宋_GBK" w:hAnsi="方正仿宋_GBK" w:eastAsia="方正仿宋_GBK" w:cs="方正仿宋_GBK"/>
          <w:b w:val="0"/>
          <w:spacing w:val="6"/>
          <w:sz w:val="32"/>
          <w:szCs w:val="32"/>
          <w:lang w:val="en-US" w:eastAsia="zh-CN"/>
        </w:rPr>
        <w:t xml:space="preserve">   根据项目绩效目标和工作计划，科学设定绩效指标，可量化</w:t>
      </w:r>
      <w:r>
        <w:rPr>
          <w:rFonts w:hint="eastAsia" w:ascii="方正仿宋_GBK" w:hAnsi="方正仿宋_GBK" w:eastAsia="方正仿宋_GBK" w:cs="方正仿宋_GBK"/>
          <w:b w:val="0"/>
          <w:color w:val="auto"/>
          <w:spacing w:val="6"/>
          <w:sz w:val="32"/>
          <w:szCs w:val="32"/>
          <w:lang w:val="en-US" w:eastAsia="zh-CN"/>
        </w:rPr>
        <w:t>绩效指标占44%。</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sz w:val="32"/>
          <w:szCs w:val="32"/>
          <w:highlight w:val="none"/>
        </w:rPr>
        <w:t>预算编制科学性</w:t>
      </w:r>
    </w:p>
    <w:p>
      <w:pPr>
        <w:spacing w:beforeLines="0" w:afterLines="0" w:line="560" w:lineRule="exact"/>
        <w:ind w:firstLine="664"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6"/>
          <w:sz w:val="32"/>
          <w:szCs w:val="32"/>
          <w:highlight w:val="none"/>
          <w:lang w:eastAsia="zh-CN"/>
        </w:rPr>
        <w:t>根据</w:t>
      </w:r>
      <w:r>
        <w:rPr>
          <w:rFonts w:hint="eastAsia" w:ascii="方正仿宋_GBK" w:hAnsi="方正仿宋_GBK" w:eastAsia="方正仿宋_GBK" w:cs="方正仿宋_GBK"/>
          <w:color w:val="auto"/>
          <w:spacing w:val="6"/>
          <w:sz w:val="32"/>
          <w:szCs w:val="32"/>
        </w:rPr>
        <w:t>《彩票管理条例》</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rPr>
        <w:t>《彩票管理条例实施细则》、《彩票机构财务管理办法》</w:t>
      </w:r>
      <w:r>
        <w:rPr>
          <w:rFonts w:hint="eastAsia" w:ascii="方正仿宋_GBK" w:hAnsi="方正仿宋_GBK" w:eastAsia="方正仿宋_GBK" w:cs="方正仿宋_GBK"/>
          <w:color w:val="auto"/>
          <w:spacing w:val="6"/>
          <w:sz w:val="32"/>
          <w:szCs w:val="32"/>
          <w:lang w:eastAsia="zh-CN"/>
        </w:rPr>
        <w:t>及</w:t>
      </w:r>
      <w:r>
        <w:rPr>
          <w:rFonts w:hint="eastAsia" w:ascii="方正仿宋_GBK" w:hAnsi="方正仿宋_GBK" w:eastAsia="方正仿宋_GBK" w:cs="方正仿宋_GBK"/>
          <w:color w:val="auto"/>
          <w:spacing w:val="6"/>
          <w:sz w:val="32"/>
          <w:szCs w:val="32"/>
        </w:rPr>
        <w:t>《彩票发行销售管理办法》</w:t>
      </w:r>
      <w:r>
        <w:rPr>
          <w:rFonts w:hint="eastAsia" w:ascii="方正仿宋_GBK" w:hAnsi="方正仿宋_GBK" w:eastAsia="方正仿宋_GBK" w:cs="方正仿宋_GBK"/>
          <w:color w:val="auto"/>
          <w:spacing w:val="6"/>
          <w:sz w:val="32"/>
          <w:szCs w:val="32"/>
          <w:lang w:eastAsia="zh-CN"/>
        </w:rPr>
        <w:t>，紧紧围绕省级彩票销售机构工作职责和</w:t>
      </w:r>
      <w:r>
        <w:rPr>
          <w:rFonts w:hint="eastAsia" w:ascii="方正仿宋_GBK" w:hAnsi="方正仿宋_GBK" w:eastAsia="方正仿宋_GBK" w:cs="方正仿宋_GBK"/>
          <w:color w:val="auto"/>
          <w:spacing w:val="6"/>
          <w:sz w:val="32"/>
          <w:szCs w:val="32"/>
          <w:lang w:val="en-US" w:eastAsia="zh-CN"/>
        </w:rPr>
        <w:t>2022年度工作计划，将福利彩票销售及管理业务相关的支出列入项目支出范围，</w:t>
      </w:r>
      <w:r>
        <w:rPr>
          <w:rFonts w:hint="eastAsia" w:ascii="方正仿宋_GBK" w:hAnsi="方正仿宋_GBK" w:eastAsia="方正仿宋_GBK" w:cs="方正仿宋_GBK"/>
          <w:b w:val="0"/>
          <w:bCs w:val="0"/>
          <w:color w:val="auto"/>
          <w:sz w:val="32"/>
          <w:szCs w:val="32"/>
          <w:highlight w:val="none"/>
          <w:lang w:val="en-US" w:eastAsia="zh-CN"/>
        </w:rPr>
        <w:t>项目支出</w:t>
      </w:r>
      <w:r>
        <w:rPr>
          <w:rFonts w:hint="eastAsia" w:ascii="方正仿宋_GBK" w:hAnsi="方正仿宋_GBK" w:eastAsia="方正仿宋_GBK" w:cs="方正仿宋_GBK"/>
          <w:color w:val="auto"/>
          <w:sz w:val="32"/>
          <w:szCs w:val="32"/>
          <w:highlight w:val="none"/>
        </w:rPr>
        <w:t>预算</w:t>
      </w:r>
      <w:r>
        <w:rPr>
          <w:rFonts w:hint="eastAsia" w:ascii="方正仿宋_GBK" w:hAnsi="方正仿宋_GBK" w:eastAsia="方正仿宋_GBK" w:cs="方正仿宋_GBK"/>
          <w:color w:val="auto"/>
          <w:sz w:val="32"/>
          <w:szCs w:val="32"/>
          <w:highlight w:val="none"/>
          <w:lang w:eastAsia="zh-CN"/>
        </w:rPr>
        <w:t>编列符合相关法规制度，与销售工作计划和重点工作高度契合。</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lang w:val="en-US" w:eastAsia="zh-CN"/>
        </w:rPr>
        <w:t xml:space="preserve"> 6.</w:t>
      </w:r>
      <w:r>
        <w:rPr>
          <w:rFonts w:hint="eastAsia" w:ascii="方正仿宋_GBK" w:hAnsi="方正仿宋_GBK" w:eastAsia="方正仿宋_GBK" w:cs="方正仿宋_GBK"/>
          <w:b/>
          <w:bCs/>
          <w:color w:val="auto"/>
          <w:sz w:val="32"/>
          <w:szCs w:val="32"/>
          <w:highlight w:val="none"/>
        </w:rPr>
        <w:t>资金分配合理性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pacing w:val="6"/>
          <w:sz w:val="32"/>
          <w:szCs w:val="32"/>
          <w:highlight w:val="none"/>
          <w:lang w:val="en-US" w:eastAsia="zh-CN"/>
        </w:rPr>
        <w:t xml:space="preserve">    </w:t>
      </w:r>
      <w:r>
        <w:rPr>
          <w:rFonts w:hint="eastAsia" w:ascii="方正仿宋_GBK" w:hAnsi="方正仿宋_GBK" w:eastAsia="方正仿宋_GBK" w:cs="方正仿宋_GBK"/>
          <w:color w:val="auto"/>
          <w:spacing w:val="6"/>
          <w:sz w:val="32"/>
          <w:szCs w:val="32"/>
          <w:highlight w:val="none"/>
          <w:lang w:val="en-US" w:eastAsia="zh-CN"/>
        </w:rPr>
        <w:t>按照保福利彩票销售业务运行、保重点工作、保任务完成的原则，彩票销售管理</w:t>
      </w:r>
      <w:r>
        <w:rPr>
          <w:rFonts w:hint="eastAsia" w:ascii="方正仿宋_GBK" w:hAnsi="方正仿宋_GBK" w:eastAsia="方正仿宋_GBK" w:cs="方正仿宋_GBK"/>
          <w:color w:val="auto"/>
          <w:spacing w:val="6"/>
          <w:sz w:val="32"/>
          <w:szCs w:val="32"/>
          <w:highlight w:val="none"/>
          <w:lang w:eastAsia="zh-CN"/>
        </w:rPr>
        <w:t>项目支出向</w:t>
      </w:r>
      <w:r>
        <w:rPr>
          <w:rFonts w:hint="eastAsia" w:ascii="方正仿宋_GBK" w:hAnsi="方正仿宋_GBK" w:eastAsia="方正仿宋_GBK" w:cs="方正仿宋_GBK"/>
          <w:b w:val="0"/>
          <w:bCs w:val="0"/>
          <w:color w:val="auto"/>
          <w:sz w:val="32"/>
          <w:szCs w:val="32"/>
          <w:highlight w:val="none"/>
          <w:lang w:val="en-US" w:eastAsia="zh-CN"/>
        </w:rPr>
        <w:t>彩票销售系统建设、运营及维护和</w:t>
      </w:r>
      <w:r>
        <w:rPr>
          <w:rFonts w:hint="eastAsia" w:ascii="方正仿宋_GBK" w:hAnsi="方正仿宋_GBK" w:eastAsia="方正仿宋_GBK" w:cs="方正仿宋_GBK"/>
          <w:b w:val="0"/>
          <w:bCs w:val="0"/>
          <w:color w:val="auto"/>
          <w:sz w:val="32"/>
          <w:szCs w:val="32"/>
          <w:highlight w:val="none"/>
          <w:lang w:eastAsia="zh-CN"/>
        </w:rPr>
        <w:t>彩票市场管理、开发</w:t>
      </w:r>
      <w:r>
        <w:rPr>
          <w:rFonts w:hint="eastAsia" w:ascii="方正仿宋_GBK" w:hAnsi="方正仿宋_GBK" w:eastAsia="方正仿宋_GBK" w:cs="方正仿宋_GBK"/>
          <w:color w:val="auto"/>
          <w:spacing w:val="6"/>
          <w:sz w:val="32"/>
          <w:szCs w:val="32"/>
          <w:highlight w:val="none"/>
          <w:lang w:eastAsia="zh-CN"/>
        </w:rPr>
        <w:t>重点</w:t>
      </w:r>
      <w:r>
        <w:rPr>
          <w:rFonts w:hint="eastAsia" w:ascii="方正仿宋_GBK" w:hAnsi="方正仿宋_GBK" w:eastAsia="方正仿宋_GBK" w:cs="方正仿宋_GBK"/>
          <w:b w:val="0"/>
          <w:bCs w:val="0"/>
          <w:color w:val="auto"/>
          <w:sz w:val="32"/>
          <w:szCs w:val="32"/>
          <w:highlight w:val="none"/>
          <w:lang w:eastAsia="zh-CN"/>
        </w:rPr>
        <w:t>倾斜，服务和</w:t>
      </w:r>
      <w:r>
        <w:rPr>
          <w:rFonts w:hint="eastAsia" w:ascii="方正仿宋_GBK" w:hAnsi="方正仿宋_GBK" w:eastAsia="方正仿宋_GBK" w:cs="方正仿宋_GBK"/>
          <w:color w:val="auto"/>
          <w:spacing w:val="6"/>
          <w:sz w:val="32"/>
          <w:szCs w:val="32"/>
          <w:highlight w:val="none"/>
          <w:lang w:eastAsia="zh-CN"/>
        </w:rPr>
        <w:t>保障年度福利彩票销售任务的完成。</w:t>
      </w:r>
    </w:p>
    <w:p>
      <w:pPr>
        <w:spacing w:beforeLines="0" w:afterLines="0" w:line="560" w:lineRule="exact"/>
        <w:ind w:firstLine="643" w:firstLineChars="200"/>
        <w:outlineLvl w:val="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（二）项目过程情况</w:t>
      </w:r>
    </w:p>
    <w:p>
      <w:pPr>
        <w:spacing w:beforeLines="0" w:afterLines="0" w:line="560" w:lineRule="exact"/>
        <w:ind w:firstLine="640" w:firstLineChars="200"/>
        <w:outlineLvl w:val="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资金到位率</w:t>
      </w:r>
    </w:p>
    <w:p>
      <w:pPr>
        <w:spacing w:beforeLines="0" w:afterLines="0" w:line="560" w:lineRule="exact"/>
        <w:ind w:firstLine="640" w:firstLineChars="200"/>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本项目</w:t>
      </w:r>
      <w:r>
        <w:rPr>
          <w:rFonts w:hint="eastAsia" w:ascii="方正仿宋_GBK" w:hAnsi="方正仿宋_GBK" w:eastAsia="方正仿宋_GBK" w:cs="方正仿宋_GBK"/>
          <w:sz w:val="32"/>
          <w:szCs w:val="32"/>
          <w:highlight w:val="none"/>
          <w:lang w:val="en-US" w:eastAsia="zh-CN"/>
        </w:rPr>
        <w:t>总投资</w:t>
      </w:r>
      <w:r>
        <w:rPr>
          <w:rFonts w:hint="eastAsia" w:ascii="方正仿宋_GBK" w:hAnsi="方正仿宋_GBK" w:eastAsia="方正仿宋_GBK" w:cs="方正仿宋_GBK"/>
          <w:b w:val="0"/>
          <w:bCs w:val="0"/>
          <w:color w:val="auto"/>
          <w:sz w:val="32"/>
          <w:szCs w:val="32"/>
          <w:highlight w:val="none"/>
          <w:lang w:val="en-US" w:eastAsia="zh-CN"/>
        </w:rPr>
        <w:t>7,850.9</w:t>
      </w:r>
      <w:r>
        <w:rPr>
          <w:rFonts w:hint="eastAsia" w:ascii="方正仿宋_GBK" w:hAnsi="方正仿宋_GBK" w:eastAsia="方正仿宋_GBK" w:cs="方正仿宋_GBK"/>
          <w:sz w:val="32"/>
          <w:szCs w:val="32"/>
          <w:highlight w:val="none"/>
          <w:lang w:val="en-US" w:eastAsia="zh-CN"/>
        </w:rPr>
        <w:t>万元，</w:t>
      </w:r>
      <w:r>
        <w:rPr>
          <w:rFonts w:hint="eastAsia" w:ascii="方正仿宋_GBK" w:hAnsi="方正仿宋_GBK" w:eastAsia="方正仿宋_GBK" w:cs="方正仿宋_GBK"/>
          <w:sz w:val="32"/>
          <w:szCs w:val="32"/>
          <w:highlight w:val="none"/>
        </w:rPr>
        <w:t>财政资金及时足额到位，到位率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预算资金按计划进度执行。</w:t>
      </w:r>
    </w:p>
    <w:p>
      <w:pPr>
        <w:spacing w:beforeLines="0" w:afterLines="0" w:line="560" w:lineRule="exact"/>
        <w:ind w:firstLine="640" w:firstLineChars="200"/>
        <w:outlineLvl w:val="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2.</w:t>
      </w:r>
      <w:r>
        <w:rPr>
          <w:rFonts w:hint="eastAsia" w:ascii="方正仿宋_GBK" w:hAnsi="方正仿宋_GBK" w:eastAsia="方正仿宋_GBK" w:cs="方正仿宋_GBK"/>
          <w:b/>
          <w:bCs/>
          <w:sz w:val="32"/>
          <w:szCs w:val="32"/>
          <w:highlight w:val="none"/>
        </w:rPr>
        <w:t>预算执行率</w:t>
      </w:r>
    </w:p>
    <w:p>
      <w:pPr>
        <w:spacing w:beforeLines="0" w:afterLines="0" w:line="560" w:lineRule="exact"/>
        <w:ind w:firstLine="640" w:firstLineChars="200"/>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项目资金支出总体能够按照预算执行，预算</w:t>
      </w:r>
      <w:r>
        <w:rPr>
          <w:rFonts w:hint="eastAsia" w:ascii="方正仿宋_GBK" w:hAnsi="方正仿宋_GBK" w:eastAsia="方正仿宋_GBK" w:cs="方正仿宋_GBK"/>
          <w:sz w:val="32"/>
          <w:szCs w:val="32"/>
          <w:highlight w:val="none"/>
          <w:lang w:val="en-US" w:eastAsia="zh-CN"/>
        </w:rPr>
        <w:t>资金执行数为</w:t>
      </w:r>
      <w:r>
        <w:rPr>
          <w:rFonts w:hint="eastAsia" w:ascii="方正仿宋_GBK" w:hAnsi="方正仿宋_GBK" w:eastAsia="方正仿宋_GBK" w:cs="方正仿宋_GBK"/>
          <w:b w:val="0"/>
          <w:bCs w:val="0"/>
          <w:color w:val="auto"/>
          <w:sz w:val="32"/>
          <w:szCs w:val="32"/>
          <w:highlight w:val="none"/>
          <w:lang w:val="en-US" w:eastAsia="zh-CN"/>
        </w:rPr>
        <w:t>7,453.02</w:t>
      </w:r>
      <w:r>
        <w:rPr>
          <w:rFonts w:hint="eastAsia" w:ascii="方正仿宋_GBK" w:hAnsi="方正仿宋_GBK" w:eastAsia="方正仿宋_GBK" w:cs="方正仿宋_GBK"/>
          <w:sz w:val="32"/>
          <w:szCs w:val="32"/>
          <w:highlight w:val="none"/>
          <w:lang w:val="en-US" w:eastAsia="zh-CN"/>
        </w:rPr>
        <w:t>万元，</w:t>
      </w:r>
      <w:r>
        <w:rPr>
          <w:rFonts w:hint="eastAsia" w:ascii="方正仿宋_GBK" w:hAnsi="方正仿宋_GBK" w:eastAsia="方正仿宋_GBK" w:cs="方正仿宋_GBK"/>
          <w:sz w:val="32"/>
          <w:szCs w:val="32"/>
          <w:highlight w:val="none"/>
        </w:rPr>
        <w:t>执行率为</w:t>
      </w:r>
      <w:r>
        <w:rPr>
          <w:rFonts w:hint="eastAsia" w:ascii="方正仿宋_GBK" w:hAnsi="方正仿宋_GBK" w:eastAsia="方正仿宋_GBK" w:cs="方正仿宋_GBK"/>
          <w:sz w:val="32"/>
          <w:szCs w:val="32"/>
          <w:highlight w:val="none"/>
          <w:lang w:val="en-US" w:eastAsia="zh-CN"/>
        </w:rPr>
        <w:t>94.93</w:t>
      </w:r>
      <w:r>
        <w:rPr>
          <w:rFonts w:hint="eastAsia" w:ascii="方正仿宋_GBK" w:hAnsi="方正仿宋_GBK" w:eastAsia="方正仿宋_GBK" w:cs="方正仿宋_GBK"/>
          <w:sz w:val="32"/>
          <w:szCs w:val="32"/>
          <w:highlight w:val="none"/>
        </w:rPr>
        <w:t>%。</w:t>
      </w:r>
    </w:p>
    <w:p>
      <w:pPr>
        <w:numPr>
          <w:ilvl w:val="0"/>
          <w:numId w:val="0"/>
        </w:numPr>
        <w:spacing w:beforeLines="0" w:afterLines="0" w:line="560" w:lineRule="exact"/>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lang w:val="en-US" w:eastAsia="zh-CN"/>
        </w:rPr>
        <w:t xml:space="preserve">  3.</w:t>
      </w:r>
      <w:r>
        <w:rPr>
          <w:rFonts w:hint="eastAsia" w:ascii="方正仿宋_GBK" w:hAnsi="方正仿宋_GBK" w:eastAsia="方正仿宋_GBK" w:cs="方正仿宋_GBK"/>
          <w:b/>
          <w:bCs/>
          <w:sz w:val="32"/>
          <w:szCs w:val="32"/>
          <w:highlight w:val="none"/>
        </w:rPr>
        <w:t>资金使用合规性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jc w:val="both"/>
        <w:textAlignment w:val="auto"/>
        <w:outlineLvl w:val="9"/>
        <w:rPr>
          <w:rFonts w:hint="eastAsia" w:ascii="方正仿宋_GBK" w:hAnsi="方正仿宋_GBK" w:eastAsia="方正仿宋_GBK" w:cs="方正仿宋_GBK"/>
          <w:color w:val="0070C0"/>
          <w:spacing w:val="6"/>
          <w:sz w:val="32"/>
          <w:szCs w:val="32"/>
          <w:highlight w:val="none"/>
          <w:lang w:eastAsia="zh-CN"/>
        </w:rPr>
      </w:pPr>
      <w:r>
        <w:rPr>
          <w:rFonts w:hint="eastAsia" w:ascii="方正仿宋_GBK" w:hAnsi="方正仿宋_GBK" w:eastAsia="方正仿宋_GBK" w:cs="方正仿宋_GBK"/>
          <w:spacing w:val="6"/>
          <w:sz w:val="32"/>
          <w:szCs w:val="32"/>
          <w:lang w:val="en-US" w:eastAsia="zh-CN"/>
        </w:rPr>
        <w:t xml:space="preserve">   </w:t>
      </w:r>
      <w:r>
        <w:rPr>
          <w:rFonts w:hint="eastAsia" w:ascii="方正仿宋_GBK" w:hAnsi="方正仿宋_GBK" w:eastAsia="方正仿宋_GBK" w:cs="方正仿宋_GBK"/>
          <w:spacing w:val="6"/>
          <w:sz w:val="32"/>
          <w:szCs w:val="32"/>
          <w:lang w:eastAsia="zh-CN"/>
        </w:rPr>
        <w:t>严格按照财政厅批复的预算项目支出范围和支出进度，使用项目资金，资金支出符合预算法、政府采购法的相关规定及财务审批制度。</w:t>
      </w:r>
    </w:p>
    <w:p>
      <w:pPr>
        <w:spacing w:beforeLines="0" w:afterLines="0" w:line="560" w:lineRule="exact"/>
        <w:ind w:firstLine="640" w:firstLineChars="200"/>
        <w:outlineLvl w:val="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4.</w:t>
      </w:r>
      <w:r>
        <w:rPr>
          <w:rFonts w:hint="eastAsia" w:ascii="方正仿宋_GBK" w:hAnsi="方正仿宋_GBK" w:eastAsia="方正仿宋_GBK" w:cs="方正仿宋_GBK"/>
          <w:b/>
          <w:bCs/>
          <w:sz w:val="32"/>
          <w:szCs w:val="32"/>
          <w:highlight w:val="none"/>
        </w:rPr>
        <w:t>管理制度健全性</w:t>
      </w:r>
    </w:p>
    <w:p>
      <w:pPr>
        <w:spacing w:beforeLines="0" w:afterLines="0" w:line="560" w:lineRule="exact"/>
        <w:ind w:firstLine="664" w:firstLineChars="200"/>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lang w:eastAsia="zh-CN"/>
        </w:rPr>
        <w:t>严格按照</w:t>
      </w:r>
      <w:r>
        <w:rPr>
          <w:rFonts w:hint="eastAsia" w:ascii="方正仿宋_GBK" w:hAnsi="方正仿宋_GBK" w:eastAsia="方正仿宋_GBK" w:cs="方正仿宋_GBK"/>
          <w:color w:val="auto"/>
          <w:spacing w:val="6"/>
          <w:sz w:val="32"/>
          <w:szCs w:val="32"/>
        </w:rPr>
        <w:t>《彩票管理条例》、《彩票管理条例实施细则》、《政府会计准则》、《政府会计制度》、《彩票机构财务管理办法》、《彩票发行销售管理办法》</w:t>
      </w:r>
      <w:r>
        <w:rPr>
          <w:rFonts w:hint="eastAsia" w:ascii="方正仿宋_GBK" w:hAnsi="方正仿宋_GBK" w:eastAsia="方正仿宋_GBK" w:cs="方正仿宋_GBK"/>
          <w:color w:val="auto"/>
          <w:spacing w:val="6"/>
          <w:sz w:val="32"/>
          <w:szCs w:val="32"/>
          <w:lang w:eastAsia="zh-CN"/>
        </w:rPr>
        <w:t>等，制定中心内控管理制度，</w:t>
      </w:r>
      <w:r>
        <w:rPr>
          <w:rFonts w:hint="eastAsia" w:ascii="方正仿宋_GBK" w:hAnsi="方正仿宋_GBK" w:eastAsia="方正仿宋_GBK" w:cs="方正仿宋_GBK"/>
          <w:color w:val="auto"/>
          <w:spacing w:val="6"/>
          <w:sz w:val="32"/>
          <w:szCs w:val="32"/>
        </w:rPr>
        <w:t>具</w:t>
      </w:r>
      <w:r>
        <w:rPr>
          <w:rFonts w:hint="eastAsia" w:ascii="方正仿宋_GBK" w:hAnsi="方正仿宋_GBK" w:eastAsia="方正仿宋_GBK" w:cs="方正仿宋_GBK"/>
          <w:color w:val="auto"/>
          <w:spacing w:val="6"/>
          <w:sz w:val="32"/>
          <w:szCs w:val="32"/>
          <w:lang w:eastAsia="zh-CN"/>
        </w:rPr>
        <w:t>备</w:t>
      </w:r>
      <w:r>
        <w:rPr>
          <w:rFonts w:hint="eastAsia" w:ascii="方正仿宋_GBK" w:hAnsi="方正仿宋_GBK" w:eastAsia="方正仿宋_GBK" w:cs="方正仿宋_GBK"/>
          <w:color w:val="auto"/>
          <w:spacing w:val="6"/>
          <w:sz w:val="32"/>
          <w:szCs w:val="32"/>
        </w:rPr>
        <w:t>健全的财务管理</w:t>
      </w:r>
      <w:r>
        <w:rPr>
          <w:rFonts w:hint="eastAsia" w:ascii="方正仿宋_GBK" w:hAnsi="方正仿宋_GBK" w:eastAsia="方正仿宋_GBK" w:cs="方正仿宋_GBK"/>
          <w:color w:val="auto"/>
          <w:spacing w:val="6"/>
          <w:sz w:val="32"/>
          <w:szCs w:val="32"/>
          <w:lang w:eastAsia="zh-CN"/>
        </w:rPr>
        <w:t>及项目实施</w:t>
      </w:r>
      <w:r>
        <w:rPr>
          <w:rFonts w:hint="eastAsia" w:ascii="方正仿宋_GBK" w:hAnsi="方正仿宋_GBK" w:eastAsia="方正仿宋_GBK" w:cs="方正仿宋_GBK"/>
          <w:color w:val="auto"/>
          <w:spacing w:val="6"/>
          <w:sz w:val="32"/>
          <w:szCs w:val="32"/>
        </w:rPr>
        <w:t>制度。</w:t>
      </w:r>
    </w:p>
    <w:p>
      <w:pPr>
        <w:spacing w:beforeLines="0" w:afterLines="0" w:line="560" w:lineRule="exact"/>
        <w:ind w:firstLine="664" w:firstLineChars="200"/>
        <w:outlineLvl w:val="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pacing w:val="6"/>
          <w:sz w:val="32"/>
          <w:szCs w:val="32"/>
          <w:lang w:val="en-US" w:eastAsia="zh-CN"/>
        </w:rPr>
        <w:t>5.</w:t>
      </w:r>
      <w:r>
        <w:rPr>
          <w:rFonts w:hint="eastAsia" w:ascii="方正仿宋_GBK" w:hAnsi="方正仿宋_GBK" w:eastAsia="方正仿宋_GBK" w:cs="方正仿宋_GBK"/>
          <w:b/>
          <w:bCs/>
          <w:color w:val="auto"/>
          <w:spacing w:val="6"/>
          <w:sz w:val="32"/>
          <w:szCs w:val="32"/>
        </w:rPr>
        <w:t>制度执行有效性</w:t>
      </w:r>
    </w:p>
    <w:p>
      <w:pPr>
        <w:spacing w:beforeLines="0" w:afterLines="0" w:line="560" w:lineRule="exact"/>
        <w:ind w:firstLine="664" w:firstLineChars="200"/>
        <w:rPr>
          <w:rFonts w:hint="eastAsia" w:ascii="方正仿宋_GBK" w:hAnsi="方正仿宋_GBK" w:eastAsia="方正仿宋_GBK" w:cs="方正仿宋_GBK"/>
          <w:color w:val="0070C0"/>
          <w:spacing w:val="6"/>
          <w:sz w:val="32"/>
          <w:szCs w:val="32"/>
          <w:lang w:eastAsia="zh-CN"/>
        </w:rPr>
      </w:pPr>
      <w:r>
        <w:rPr>
          <w:rFonts w:hint="eastAsia" w:ascii="方正仿宋_GBK" w:hAnsi="方正仿宋_GBK" w:eastAsia="方正仿宋_GBK" w:cs="方正仿宋_GBK"/>
          <w:color w:val="auto"/>
          <w:spacing w:val="6"/>
          <w:sz w:val="32"/>
          <w:szCs w:val="32"/>
        </w:rPr>
        <w:t>严格按照</w:t>
      </w:r>
      <w:r>
        <w:rPr>
          <w:rFonts w:hint="eastAsia" w:ascii="方正仿宋_GBK" w:hAnsi="方正仿宋_GBK" w:eastAsia="方正仿宋_GBK" w:cs="方正仿宋_GBK"/>
          <w:color w:val="auto"/>
          <w:spacing w:val="6"/>
          <w:sz w:val="32"/>
          <w:szCs w:val="32"/>
          <w:lang w:eastAsia="zh-CN"/>
        </w:rPr>
        <w:t>中心内控管理制度实施具体预算项目，对单个项目实行立项、采购、合同签订及验收、绩效评价全流程管理，各</w:t>
      </w:r>
      <w:r>
        <w:rPr>
          <w:rFonts w:hint="eastAsia" w:ascii="方正仿宋_GBK" w:hAnsi="方正仿宋_GBK" w:eastAsia="方正仿宋_GBK" w:cs="方正仿宋_GBK"/>
          <w:color w:val="auto"/>
          <w:spacing w:val="6"/>
          <w:sz w:val="32"/>
          <w:szCs w:val="32"/>
        </w:rPr>
        <w:t>项目</w:t>
      </w:r>
      <w:r>
        <w:rPr>
          <w:rFonts w:hint="eastAsia" w:ascii="方正仿宋_GBK" w:hAnsi="方正仿宋_GBK" w:eastAsia="方正仿宋_GBK" w:cs="方正仿宋_GBK"/>
          <w:color w:val="auto"/>
          <w:spacing w:val="6"/>
          <w:sz w:val="32"/>
          <w:szCs w:val="32"/>
          <w:lang w:eastAsia="zh-CN"/>
        </w:rPr>
        <w:t>实施过程规范，项目绩效评价结果与资金支付相一致。</w:t>
      </w:r>
    </w:p>
    <w:p>
      <w:pPr>
        <w:numPr>
          <w:ilvl w:val="0"/>
          <w:numId w:val="5"/>
        </w:numPr>
        <w:spacing w:beforeLines="0" w:afterLines="0" w:line="560" w:lineRule="exact"/>
        <w:ind w:firstLine="643" w:firstLineChars="200"/>
        <w:outlineLvl w:val="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项目产出情况</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fldChar w:fldCharType="begin"/>
      </w:r>
      <w:r>
        <w:rPr>
          <w:rFonts w:hint="eastAsia" w:ascii="方正仿宋_GBK" w:hAnsi="方正仿宋_GBK" w:eastAsia="方正仿宋_GBK" w:cs="方正仿宋_GBK"/>
          <w:color w:val="auto"/>
          <w:spacing w:val="6"/>
          <w:sz w:val="32"/>
          <w:szCs w:val="32"/>
          <w:lang w:eastAsia="zh-CN"/>
        </w:rPr>
        <w:instrText xml:space="preserve"> = 1 \* GB3 </w:instrText>
      </w:r>
      <w:r>
        <w:rPr>
          <w:rFonts w:hint="eastAsia" w:ascii="方正仿宋_GBK" w:hAnsi="方正仿宋_GBK" w:eastAsia="方正仿宋_GBK" w:cs="方正仿宋_GBK"/>
          <w:color w:val="auto"/>
          <w:spacing w:val="6"/>
          <w:sz w:val="32"/>
          <w:szCs w:val="32"/>
          <w:lang w:eastAsia="zh-CN"/>
        </w:rPr>
        <w:fldChar w:fldCharType="separate"/>
      </w:r>
      <w:r>
        <w:rPr>
          <w:rFonts w:hint="eastAsia" w:ascii="方正仿宋_GBK" w:hAnsi="方正仿宋_GBK" w:eastAsia="方正仿宋_GBK" w:cs="方正仿宋_GBK"/>
          <w:color w:val="auto"/>
          <w:spacing w:val="6"/>
          <w:sz w:val="32"/>
          <w:szCs w:val="32"/>
          <w:lang w:eastAsia="zh-CN"/>
        </w:rPr>
        <w:t>①</w:t>
      </w:r>
      <w:r>
        <w:rPr>
          <w:rFonts w:hint="eastAsia" w:ascii="方正仿宋_GBK" w:hAnsi="方正仿宋_GBK" w:eastAsia="方正仿宋_GBK" w:cs="方正仿宋_GBK"/>
          <w:color w:val="auto"/>
          <w:spacing w:val="6"/>
          <w:sz w:val="32"/>
          <w:szCs w:val="32"/>
          <w:lang w:eastAsia="zh-CN"/>
        </w:rPr>
        <w:fldChar w:fldCharType="end"/>
      </w:r>
      <w:r>
        <w:rPr>
          <w:rFonts w:hint="eastAsia" w:ascii="方正仿宋_GBK" w:hAnsi="方正仿宋_GBK" w:eastAsia="方正仿宋_GBK" w:cs="方正仿宋_GBK"/>
          <w:color w:val="auto"/>
          <w:spacing w:val="6"/>
          <w:sz w:val="32"/>
          <w:szCs w:val="32"/>
          <w:lang w:eastAsia="zh-CN"/>
        </w:rPr>
        <w:t>数量指标：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指标1：支持彩票销售网点数量，指标值：≥3</w:t>
      </w:r>
      <w:r>
        <w:rPr>
          <w:rFonts w:hint="eastAsia" w:ascii="方正仿宋_GBK" w:hAnsi="方正仿宋_GBK" w:eastAsia="方正仿宋_GBK" w:cs="方正仿宋_GBK"/>
          <w:color w:val="auto"/>
          <w:spacing w:val="6"/>
          <w:sz w:val="32"/>
          <w:szCs w:val="32"/>
          <w:lang w:val="en-US" w:eastAsia="zh-CN"/>
        </w:rPr>
        <w:t>1</w:t>
      </w:r>
      <w:r>
        <w:rPr>
          <w:rFonts w:hint="eastAsia" w:ascii="方正仿宋_GBK" w:hAnsi="方正仿宋_GBK" w:eastAsia="方正仿宋_GBK" w:cs="方正仿宋_GBK"/>
          <w:color w:val="auto"/>
          <w:spacing w:val="6"/>
          <w:sz w:val="32"/>
          <w:szCs w:val="32"/>
          <w:lang w:eastAsia="zh-CN"/>
        </w:rPr>
        <w:t>00个，实际完成值：3</w:t>
      </w:r>
      <w:r>
        <w:rPr>
          <w:rFonts w:hint="eastAsia" w:ascii="方正仿宋_GBK" w:hAnsi="方正仿宋_GBK" w:eastAsia="方正仿宋_GBK" w:cs="方正仿宋_GBK"/>
          <w:color w:val="auto"/>
          <w:spacing w:val="6"/>
          <w:sz w:val="32"/>
          <w:szCs w:val="32"/>
          <w:lang w:val="en-US" w:eastAsia="zh-CN"/>
        </w:rPr>
        <w:t>388</w:t>
      </w:r>
      <w:r>
        <w:rPr>
          <w:rFonts w:hint="eastAsia" w:ascii="方正仿宋_GBK" w:hAnsi="方正仿宋_GBK" w:eastAsia="方正仿宋_GBK" w:cs="方正仿宋_GBK"/>
          <w:color w:val="auto"/>
          <w:spacing w:val="6"/>
          <w:sz w:val="32"/>
          <w:szCs w:val="32"/>
          <w:lang w:eastAsia="zh-CN"/>
        </w:rPr>
        <w:t>个，指标完成率</w:t>
      </w:r>
      <w:r>
        <w:rPr>
          <w:rFonts w:hint="eastAsia" w:ascii="方正仿宋_GBK" w:hAnsi="方正仿宋_GBK" w:eastAsia="方正仿宋_GBK" w:cs="方正仿宋_GBK"/>
          <w:color w:val="auto"/>
          <w:spacing w:val="6"/>
          <w:sz w:val="32"/>
          <w:szCs w:val="32"/>
          <w:lang w:val="en-US" w:eastAsia="zh-CN"/>
        </w:rPr>
        <w:t>109.29</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val="en-US" w:eastAsia="zh-CN"/>
        </w:rPr>
      </w:pPr>
      <w:r>
        <w:rPr>
          <w:rFonts w:hint="eastAsia" w:ascii="方正仿宋_GBK" w:hAnsi="方正仿宋_GBK" w:eastAsia="方正仿宋_GBK" w:cs="方正仿宋_GBK"/>
          <w:color w:val="auto"/>
          <w:spacing w:val="6"/>
          <w:sz w:val="32"/>
          <w:szCs w:val="32"/>
          <w:lang w:eastAsia="zh-CN"/>
        </w:rPr>
        <w:t>指标2：</w:t>
      </w:r>
      <w:r>
        <w:rPr>
          <w:rFonts w:hint="eastAsia" w:ascii="方正仿宋_GBK" w:hAnsi="方正仿宋_GBK" w:eastAsia="方正仿宋_GBK" w:cs="方正仿宋_GBK"/>
          <w:color w:val="auto"/>
          <w:spacing w:val="6"/>
          <w:sz w:val="32"/>
          <w:szCs w:val="32"/>
          <w:lang w:val="en-US" w:eastAsia="zh-CN"/>
        </w:rPr>
        <w:t>帮扶新增投注站站点数量，</w:t>
      </w:r>
      <w:r>
        <w:rPr>
          <w:rFonts w:hint="eastAsia" w:ascii="方正仿宋_GBK" w:hAnsi="方正仿宋_GBK" w:eastAsia="方正仿宋_GBK" w:cs="方正仿宋_GBK"/>
          <w:color w:val="auto"/>
          <w:spacing w:val="6"/>
          <w:sz w:val="32"/>
          <w:szCs w:val="32"/>
          <w:lang w:eastAsia="zh-CN"/>
        </w:rPr>
        <w:t>指标值：≥50个，实际完成值：145个，指标完成率</w:t>
      </w:r>
      <w:r>
        <w:rPr>
          <w:rFonts w:hint="eastAsia" w:ascii="方正仿宋_GBK" w:hAnsi="方正仿宋_GBK" w:eastAsia="方正仿宋_GBK" w:cs="方正仿宋_GBK"/>
          <w:color w:val="auto"/>
          <w:spacing w:val="6"/>
          <w:sz w:val="32"/>
          <w:szCs w:val="32"/>
          <w:lang w:val="en-US" w:eastAsia="zh-CN"/>
        </w:rPr>
        <w:t>290</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lang w:val="en-US" w:eastAsia="zh-CN"/>
        </w:rPr>
        <w:t>超额原因为</w:t>
      </w:r>
      <w:r>
        <w:rPr>
          <w:rFonts w:hint="eastAsia" w:ascii="方正仿宋_GBK" w:hAnsi="方正仿宋_GBK" w:eastAsia="方正仿宋_GBK" w:cs="方正仿宋_GBK"/>
          <w:color w:val="auto"/>
          <w:spacing w:val="6"/>
          <w:sz w:val="32"/>
          <w:szCs w:val="32"/>
        </w:rPr>
        <w:t>市场拓展指标值预测趋于保守</w:t>
      </w:r>
      <w:r>
        <w:rPr>
          <w:rFonts w:hint="eastAsia" w:ascii="方正仿宋_GBK" w:hAnsi="方正仿宋_GBK" w:eastAsia="方正仿宋_GBK" w:cs="方正仿宋_GBK"/>
          <w:color w:val="auto"/>
          <w:spacing w:val="6"/>
          <w:sz w:val="32"/>
          <w:szCs w:val="32"/>
          <w:lang w:val="en-US"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3</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lang w:val="en-US" w:eastAsia="zh-CN"/>
        </w:rPr>
        <w:t>全年回馈彩民活动次数，</w:t>
      </w:r>
      <w:r>
        <w:rPr>
          <w:rFonts w:hint="eastAsia" w:ascii="方正仿宋_GBK" w:hAnsi="方正仿宋_GBK" w:eastAsia="方正仿宋_GBK" w:cs="方正仿宋_GBK"/>
          <w:color w:val="auto"/>
          <w:spacing w:val="6"/>
          <w:sz w:val="32"/>
          <w:szCs w:val="32"/>
          <w:lang w:eastAsia="zh-CN"/>
        </w:rPr>
        <w:t>指标值：≥</w:t>
      </w:r>
      <w:r>
        <w:rPr>
          <w:rFonts w:hint="eastAsia" w:ascii="方正仿宋_GBK" w:hAnsi="方正仿宋_GBK" w:eastAsia="方正仿宋_GBK" w:cs="方正仿宋_GBK"/>
          <w:color w:val="auto"/>
          <w:spacing w:val="6"/>
          <w:sz w:val="32"/>
          <w:szCs w:val="32"/>
          <w:lang w:val="en-US" w:eastAsia="zh-CN"/>
        </w:rPr>
        <w:t>3</w:t>
      </w:r>
      <w:r>
        <w:rPr>
          <w:rFonts w:hint="eastAsia" w:ascii="方正仿宋_GBK" w:hAnsi="方正仿宋_GBK" w:eastAsia="方正仿宋_GBK" w:cs="方正仿宋_GBK"/>
          <w:color w:val="auto"/>
          <w:spacing w:val="6"/>
          <w:sz w:val="32"/>
          <w:szCs w:val="32"/>
          <w:lang w:eastAsia="zh-CN"/>
        </w:rPr>
        <w:t>次，实际完成值：</w:t>
      </w:r>
      <w:r>
        <w:rPr>
          <w:rFonts w:hint="eastAsia" w:ascii="方正仿宋_GBK" w:hAnsi="方正仿宋_GBK" w:eastAsia="方正仿宋_GBK" w:cs="方正仿宋_GBK"/>
          <w:color w:val="auto"/>
          <w:spacing w:val="6"/>
          <w:sz w:val="32"/>
          <w:szCs w:val="32"/>
          <w:lang w:val="en-US" w:eastAsia="zh-CN"/>
        </w:rPr>
        <w:t>3</w:t>
      </w:r>
      <w:r>
        <w:rPr>
          <w:rFonts w:hint="eastAsia" w:ascii="方正仿宋_GBK" w:hAnsi="方正仿宋_GBK" w:eastAsia="方正仿宋_GBK" w:cs="方正仿宋_GBK"/>
          <w:color w:val="auto"/>
          <w:spacing w:val="6"/>
          <w:sz w:val="32"/>
          <w:szCs w:val="32"/>
          <w:lang w:eastAsia="zh-CN"/>
        </w:rPr>
        <w:t>次，指标完成率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4</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lang w:val="en-US" w:eastAsia="zh-CN"/>
        </w:rPr>
        <w:t>彩票销售系统运维维护次数，</w:t>
      </w:r>
      <w:r>
        <w:rPr>
          <w:rFonts w:hint="eastAsia" w:ascii="方正仿宋_GBK" w:hAnsi="方正仿宋_GBK" w:eastAsia="方正仿宋_GBK" w:cs="方正仿宋_GBK"/>
          <w:color w:val="auto"/>
          <w:spacing w:val="6"/>
          <w:sz w:val="32"/>
          <w:szCs w:val="32"/>
          <w:lang w:eastAsia="zh-CN"/>
        </w:rPr>
        <w:t>指标值：≥12次，实际完成值：</w:t>
      </w:r>
      <w:r>
        <w:rPr>
          <w:rFonts w:hint="eastAsia" w:ascii="方正仿宋_GBK" w:hAnsi="方正仿宋_GBK" w:eastAsia="方正仿宋_GBK" w:cs="方正仿宋_GBK"/>
          <w:color w:val="auto"/>
          <w:spacing w:val="6"/>
          <w:sz w:val="32"/>
          <w:szCs w:val="32"/>
          <w:lang w:val="en-US" w:eastAsia="zh-CN"/>
        </w:rPr>
        <w:t>12</w:t>
      </w:r>
      <w:r>
        <w:rPr>
          <w:rFonts w:hint="eastAsia" w:ascii="方正仿宋_GBK" w:hAnsi="方正仿宋_GBK" w:eastAsia="方正仿宋_GBK" w:cs="方正仿宋_GBK"/>
          <w:color w:val="auto"/>
          <w:spacing w:val="6"/>
          <w:sz w:val="32"/>
          <w:szCs w:val="32"/>
          <w:lang w:eastAsia="zh-CN"/>
        </w:rPr>
        <w:t>次 ，指标完成率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fldChar w:fldCharType="begin"/>
      </w:r>
      <w:r>
        <w:rPr>
          <w:rFonts w:hint="eastAsia" w:ascii="方正仿宋_GBK" w:hAnsi="方正仿宋_GBK" w:eastAsia="方正仿宋_GBK" w:cs="方正仿宋_GBK"/>
          <w:color w:val="auto"/>
          <w:spacing w:val="6"/>
          <w:sz w:val="32"/>
          <w:szCs w:val="32"/>
          <w:lang w:eastAsia="zh-CN"/>
        </w:rPr>
        <w:instrText xml:space="preserve"> = 2 \* GB3 </w:instrText>
      </w:r>
      <w:r>
        <w:rPr>
          <w:rFonts w:hint="eastAsia" w:ascii="方正仿宋_GBK" w:hAnsi="方正仿宋_GBK" w:eastAsia="方正仿宋_GBK" w:cs="方正仿宋_GBK"/>
          <w:color w:val="auto"/>
          <w:spacing w:val="6"/>
          <w:sz w:val="32"/>
          <w:szCs w:val="32"/>
          <w:lang w:eastAsia="zh-CN"/>
        </w:rPr>
        <w:fldChar w:fldCharType="separate"/>
      </w:r>
      <w:r>
        <w:rPr>
          <w:rFonts w:hint="eastAsia" w:ascii="方正仿宋_GBK" w:hAnsi="方正仿宋_GBK" w:eastAsia="方正仿宋_GBK" w:cs="方正仿宋_GBK"/>
          <w:color w:val="auto"/>
          <w:spacing w:val="6"/>
          <w:sz w:val="32"/>
          <w:szCs w:val="32"/>
          <w:lang w:eastAsia="zh-CN"/>
        </w:rPr>
        <w:t>②</w:t>
      </w:r>
      <w:r>
        <w:rPr>
          <w:rFonts w:hint="eastAsia" w:ascii="方正仿宋_GBK" w:hAnsi="方正仿宋_GBK" w:eastAsia="方正仿宋_GBK" w:cs="方正仿宋_GBK"/>
          <w:color w:val="auto"/>
          <w:spacing w:val="6"/>
          <w:sz w:val="32"/>
          <w:szCs w:val="32"/>
          <w:lang w:eastAsia="zh-CN"/>
        </w:rPr>
        <w:fldChar w:fldCharType="end"/>
      </w:r>
      <w:r>
        <w:rPr>
          <w:rFonts w:hint="eastAsia" w:ascii="方正仿宋_GBK" w:hAnsi="方正仿宋_GBK" w:eastAsia="方正仿宋_GBK" w:cs="方正仿宋_GBK"/>
          <w:color w:val="auto"/>
          <w:spacing w:val="6"/>
          <w:sz w:val="32"/>
          <w:szCs w:val="32"/>
          <w:lang w:eastAsia="zh-CN"/>
        </w:rPr>
        <w:t>质量指标：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指标1：全疆彩票投注站安全运行率，指标值：100%，实际完成值：100%，指标完成率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2</w:t>
      </w:r>
      <w:r>
        <w:rPr>
          <w:rFonts w:hint="eastAsia" w:ascii="方正仿宋_GBK" w:hAnsi="方正仿宋_GBK" w:eastAsia="方正仿宋_GBK" w:cs="方正仿宋_GBK"/>
          <w:color w:val="auto"/>
          <w:spacing w:val="6"/>
          <w:sz w:val="32"/>
          <w:szCs w:val="32"/>
          <w:lang w:eastAsia="zh-CN"/>
        </w:rPr>
        <w:t>：全疆彩票销售系统安全运行保障率，指标值100%，实际完成值：100%，指标完成率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fldChar w:fldCharType="begin"/>
      </w:r>
      <w:r>
        <w:rPr>
          <w:rFonts w:hint="eastAsia" w:ascii="方正仿宋_GBK" w:hAnsi="方正仿宋_GBK" w:eastAsia="方正仿宋_GBK" w:cs="方正仿宋_GBK"/>
          <w:color w:val="auto"/>
          <w:spacing w:val="6"/>
          <w:sz w:val="32"/>
          <w:szCs w:val="32"/>
          <w:lang w:eastAsia="zh-CN"/>
        </w:rPr>
        <w:instrText xml:space="preserve"> = 3 \* GB3 </w:instrText>
      </w:r>
      <w:r>
        <w:rPr>
          <w:rFonts w:hint="eastAsia" w:ascii="方正仿宋_GBK" w:hAnsi="方正仿宋_GBK" w:eastAsia="方正仿宋_GBK" w:cs="方正仿宋_GBK"/>
          <w:color w:val="auto"/>
          <w:spacing w:val="6"/>
          <w:sz w:val="32"/>
          <w:szCs w:val="32"/>
          <w:lang w:eastAsia="zh-CN"/>
        </w:rPr>
        <w:fldChar w:fldCharType="separate"/>
      </w:r>
      <w:r>
        <w:rPr>
          <w:rFonts w:hint="eastAsia" w:ascii="方正仿宋_GBK" w:hAnsi="方正仿宋_GBK" w:eastAsia="方正仿宋_GBK" w:cs="方正仿宋_GBK"/>
          <w:color w:val="auto"/>
          <w:spacing w:val="6"/>
          <w:sz w:val="32"/>
          <w:szCs w:val="32"/>
          <w:lang w:eastAsia="zh-CN"/>
        </w:rPr>
        <w:t>③</w:t>
      </w:r>
      <w:r>
        <w:rPr>
          <w:rFonts w:hint="eastAsia" w:ascii="方正仿宋_GBK" w:hAnsi="方正仿宋_GBK" w:eastAsia="方正仿宋_GBK" w:cs="方正仿宋_GBK"/>
          <w:color w:val="auto"/>
          <w:spacing w:val="6"/>
          <w:sz w:val="32"/>
          <w:szCs w:val="32"/>
          <w:lang w:eastAsia="zh-CN"/>
        </w:rPr>
        <w:fldChar w:fldCharType="end"/>
      </w:r>
      <w:r>
        <w:rPr>
          <w:rFonts w:hint="eastAsia" w:ascii="方正仿宋_GBK" w:hAnsi="方正仿宋_GBK" w:eastAsia="方正仿宋_GBK" w:cs="方正仿宋_GBK"/>
          <w:color w:val="auto"/>
          <w:spacing w:val="6"/>
          <w:sz w:val="32"/>
          <w:szCs w:val="32"/>
          <w:lang w:eastAsia="zh-CN"/>
        </w:rPr>
        <w:t>时效指标：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指标1：彩票销售系统维护响应时间，指标值：≤24小时，实际完成值：24小时，指标完成率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2</w:t>
      </w:r>
      <w:r>
        <w:rPr>
          <w:rFonts w:hint="eastAsia" w:ascii="方正仿宋_GBK" w:hAnsi="方正仿宋_GBK" w:eastAsia="方正仿宋_GBK" w:cs="方正仿宋_GBK"/>
          <w:color w:val="auto"/>
          <w:spacing w:val="6"/>
          <w:sz w:val="32"/>
          <w:szCs w:val="32"/>
          <w:lang w:eastAsia="zh-CN"/>
        </w:rPr>
        <w:t>：全疆即开型彩票装卸及物流服务送达时限，指标值≤7天，实际完成值：7天，指标完成率</w:t>
      </w:r>
      <w:r>
        <w:rPr>
          <w:rFonts w:hint="eastAsia" w:ascii="方正仿宋_GBK" w:hAnsi="方正仿宋_GBK" w:eastAsia="方正仿宋_GBK" w:cs="方正仿宋_GBK"/>
          <w:color w:val="auto"/>
          <w:spacing w:val="6"/>
          <w:sz w:val="32"/>
          <w:szCs w:val="32"/>
          <w:lang w:val="en-US" w:eastAsia="zh-CN"/>
        </w:rPr>
        <w:t>100</w:t>
      </w:r>
      <w:r>
        <w:rPr>
          <w:rFonts w:hint="eastAsia" w:ascii="方正仿宋_GBK" w:hAnsi="方正仿宋_GBK" w:eastAsia="方正仿宋_GBK" w:cs="方正仿宋_GBK"/>
          <w:color w:val="auto"/>
          <w:spacing w:val="6"/>
          <w:sz w:val="32"/>
          <w:szCs w:val="32"/>
          <w:lang w:eastAsia="zh-CN"/>
        </w:rPr>
        <w:t xml:space="preserve"> %。</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3</w:t>
      </w:r>
      <w:r>
        <w:rPr>
          <w:rFonts w:hint="eastAsia" w:ascii="方正仿宋_GBK" w:hAnsi="方正仿宋_GBK" w:eastAsia="方正仿宋_GBK" w:cs="方正仿宋_GBK"/>
          <w:color w:val="auto"/>
          <w:spacing w:val="6"/>
          <w:sz w:val="32"/>
          <w:szCs w:val="32"/>
          <w:lang w:eastAsia="zh-CN"/>
        </w:rPr>
        <w:t>：回馈彩民活动完成及时率，指标值100%，实际完成值：100%，指标完成率</w:t>
      </w:r>
      <w:r>
        <w:rPr>
          <w:rFonts w:hint="eastAsia" w:ascii="方正仿宋_GBK" w:hAnsi="方正仿宋_GBK" w:eastAsia="方正仿宋_GBK" w:cs="方正仿宋_GBK"/>
          <w:color w:val="auto"/>
          <w:spacing w:val="6"/>
          <w:sz w:val="32"/>
          <w:szCs w:val="32"/>
          <w:lang w:val="en-US" w:eastAsia="zh-CN"/>
        </w:rPr>
        <w:t>100%。</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fldChar w:fldCharType="begin"/>
      </w:r>
      <w:r>
        <w:rPr>
          <w:rFonts w:hint="eastAsia" w:ascii="方正仿宋_GBK" w:hAnsi="方正仿宋_GBK" w:eastAsia="方正仿宋_GBK" w:cs="方正仿宋_GBK"/>
          <w:color w:val="auto"/>
          <w:spacing w:val="6"/>
          <w:sz w:val="32"/>
          <w:szCs w:val="32"/>
          <w:lang w:eastAsia="zh-CN"/>
        </w:rPr>
        <w:instrText xml:space="preserve"> = 4 \* GB3 </w:instrText>
      </w:r>
      <w:r>
        <w:rPr>
          <w:rFonts w:hint="eastAsia" w:ascii="方正仿宋_GBK" w:hAnsi="方正仿宋_GBK" w:eastAsia="方正仿宋_GBK" w:cs="方正仿宋_GBK"/>
          <w:color w:val="auto"/>
          <w:spacing w:val="6"/>
          <w:sz w:val="32"/>
          <w:szCs w:val="32"/>
          <w:lang w:eastAsia="zh-CN"/>
        </w:rPr>
        <w:fldChar w:fldCharType="separate"/>
      </w:r>
      <w:r>
        <w:rPr>
          <w:rFonts w:hint="eastAsia" w:ascii="方正仿宋_GBK" w:hAnsi="方正仿宋_GBK" w:eastAsia="方正仿宋_GBK" w:cs="方正仿宋_GBK"/>
          <w:color w:val="auto"/>
          <w:spacing w:val="6"/>
          <w:sz w:val="32"/>
          <w:szCs w:val="32"/>
          <w:lang w:eastAsia="zh-CN"/>
        </w:rPr>
        <w:t>④</w:t>
      </w:r>
      <w:r>
        <w:rPr>
          <w:rFonts w:hint="eastAsia" w:ascii="方正仿宋_GBK" w:hAnsi="方正仿宋_GBK" w:eastAsia="方正仿宋_GBK" w:cs="方正仿宋_GBK"/>
          <w:color w:val="auto"/>
          <w:spacing w:val="6"/>
          <w:sz w:val="32"/>
          <w:szCs w:val="32"/>
          <w:lang w:eastAsia="zh-CN"/>
        </w:rPr>
        <w:fldChar w:fldCharType="end"/>
      </w:r>
      <w:r>
        <w:rPr>
          <w:rFonts w:hint="eastAsia" w:ascii="方正仿宋_GBK" w:hAnsi="方正仿宋_GBK" w:eastAsia="方正仿宋_GBK" w:cs="方正仿宋_GBK"/>
          <w:color w:val="auto"/>
          <w:spacing w:val="6"/>
          <w:sz w:val="32"/>
          <w:szCs w:val="32"/>
          <w:lang w:eastAsia="zh-CN"/>
        </w:rPr>
        <w:t>成本指标：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val="en-US" w:eastAsia="zh-CN"/>
        </w:rPr>
      </w:pPr>
      <w:r>
        <w:rPr>
          <w:rFonts w:hint="eastAsia" w:ascii="方正仿宋_GBK" w:hAnsi="方正仿宋_GBK" w:eastAsia="方正仿宋_GBK" w:cs="方正仿宋_GBK"/>
          <w:color w:val="auto"/>
          <w:spacing w:val="6"/>
          <w:sz w:val="32"/>
          <w:szCs w:val="32"/>
          <w:lang w:eastAsia="zh-CN"/>
        </w:rPr>
        <w:t>指标1：彩票销售渠道建设、管理及维护费用，指标值：≤443.32万元，实际完成值：429.63万元，指标完成率</w:t>
      </w:r>
      <w:r>
        <w:rPr>
          <w:rFonts w:hint="eastAsia" w:ascii="方正仿宋_GBK" w:hAnsi="方正仿宋_GBK" w:eastAsia="方正仿宋_GBK" w:cs="方正仿宋_GBK"/>
          <w:color w:val="auto"/>
          <w:spacing w:val="6"/>
          <w:sz w:val="32"/>
          <w:szCs w:val="32"/>
          <w:lang w:val="en-US" w:eastAsia="zh-CN"/>
        </w:rPr>
        <w:t>96.91</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sz w:val="32"/>
          <w:szCs w:val="32"/>
          <w:lang w:val="en-US" w:eastAsia="zh-CN"/>
        </w:rPr>
        <w:t>未完成原因为：</w:t>
      </w:r>
      <w:r>
        <w:rPr>
          <w:rFonts w:hint="eastAsia" w:ascii="方正仿宋_GBK" w:hAnsi="方正仿宋_GBK" w:eastAsia="方正仿宋_GBK" w:cs="方正仿宋_GBK"/>
          <w:sz w:val="32"/>
          <w:szCs w:val="32"/>
        </w:rPr>
        <w:t>因项目合同签订金额小于预算金额，导致此款项未按预算计划支付，产生结余</w:t>
      </w:r>
      <w:r>
        <w:rPr>
          <w:rFonts w:hint="eastAsia" w:ascii="方正仿宋_GBK" w:hAnsi="方正仿宋_GBK" w:eastAsia="方正仿宋_GBK" w:cs="方正仿宋_GBK"/>
          <w:sz w:val="32"/>
          <w:szCs w:val="32"/>
          <w:lang w:val="en-US"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2</w:t>
      </w:r>
      <w:r>
        <w:rPr>
          <w:rFonts w:hint="eastAsia" w:ascii="方正仿宋_GBK" w:hAnsi="方正仿宋_GBK" w:eastAsia="方正仿宋_GBK" w:cs="方正仿宋_GBK"/>
          <w:color w:val="auto"/>
          <w:spacing w:val="6"/>
          <w:sz w:val="32"/>
          <w:szCs w:val="32"/>
          <w:lang w:eastAsia="zh-CN"/>
        </w:rPr>
        <w:t>：彩票销售技术系统建设、运营及维护费用，指标值≤1</w:t>
      </w:r>
      <w:r>
        <w:rPr>
          <w:rFonts w:hint="eastAsia" w:ascii="方正仿宋_GBK" w:hAnsi="方正仿宋_GBK" w:eastAsia="方正仿宋_GBK" w:cs="方正仿宋_GBK"/>
          <w:color w:val="auto"/>
          <w:spacing w:val="6"/>
          <w:sz w:val="32"/>
          <w:szCs w:val="32"/>
          <w:lang w:val="en-US" w:eastAsia="zh-CN"/>
        </w:rPr>
        <w:t>,</w:t>
      </w:r>
      <w:r>
        <w:rPr>
          <w:rFonts w:hint="eastAsia" w:ascii="方正仿宋_GBK" w:hAnsi="方正仿宋_GBK" w:eastAsia="方正仿宋_GBK" w:cs="方正仿宋_GBK"/>
          <w:color w:val="auto"/>
          <w:spacing w:val="6"/>
          <w:sz w:val="32"/>
          <w:szCs w:val="32"/>
          <w:lang w:eastAsia="zh-CN"/>
        </w:rPr>
        <w:t>349.75万元，实际完成值：1</w:t>
      </w:r>
      <w:r>
        <w:rPr>
          <w:rFonts w:hint="eastAsia" w:ascii="方正仿宋_GBK" w:hAnsi="方正仿宋_GBK" w:eastAsia="方正仿宋_GBK" w:cs="方正仿宋_GBK"/>
          <w:color w:val="auto"/>
          <w:spacing w:val="6"/>
          <w:sz w:val="32"/>
          <w:szCs w:val="32"/>
          <w:lang w:val="en-US" w:eastAsia="zh-CN"/>
        </w:rPr>
        <w:t>,</w:t>
      </w:r>
      <w:r>
        <w:rPr>
          <w:rFonts w:hint="eastAsia" w:ascii="方正仿宋_GBK" w:hAnsi="方正仿宋_GBK" w:eastAsia="方正仿宋_GBK" w:cs="方正仿宋_GBK"/>
          <w:color w:val="auto"/>
          <w:spacing w:val="6"/>
          <w:sz w:val="32"/>
          <w:szCs w:val="32"/>
          <w:lang w:eastAsia="zh-CN"/>
        </w:rPr>
        <w:t>127.69万元，指标完成率</w:t>
      </w:r>
      <w:r>
        <w:rPr>
          <w:rFonts w:hint="eastAsia" w:ascii="方正仿宋_GBK" w:hAnsi="方正仿宋_GBK" w:eastAsia="方正仿宋_GBK" w:cs="方正仿宋_GBK"/>
          <w:color w:val="auto"/>
          <w:spacing w:val="6"/>
          <w:sz w:val="32"/>
          <w:szCs w:val="32"/>
          <w:lang w:val="en-US" w:eastAsia="zh-CN"/>
        </w:rPr>
        <w:t>83.55</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sz w:val="32"/>
          <w:szCs w:val="32"/>
          <w:lang w:val="en-US" w:eastAsia="zh-CN"/>
        </w:rPr>
        <w:t>未完成原因为：</w:t>
      </w:r>
      <w:r>
        <w:rPr>
          <w:rFonts w:hint="eastAsia" w:ascii="方正仿宋_GBK" w:hAnsi="方正仿宋_GBK" w:eastAsia="方正仿宋_GBK" w:cs="方正仿宋_GBK"/>
          <w:sz w:val="32"/>
          <w:szCs w:val="32"/>
        </w:rPr>
        <w:t>因疫情影响，采购时间延期，剩余预算结转至2023年</w:t>
      </w:r>
      <w:r>
        <w:rPr>
          <w:rFonts w:hint="eastAsia" w:ascii="方正仿宋_GBK" w:hAnsi="方正仿宋_GBK" w:eastAsia="方正仿宋_GBK" w:cs="方正仿宋_GBK"/>
          <w:sz w:val="32"/>
          <w:szCs w:val="32"/>
          <w:lang w:val="en-US"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方正仿宋_GBK" w:hAnsi="方正仿宋_GBK" w:eastAsia="方正仿宋_GBK" w:cs="方正仿宋_GBK"/>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指标</w:t>
      </w:r>
      <w:r>
        <w:rPr>
          <w:rFonts w:hint="eastAsia" w:ascii="方正仿宋_GBK" w:hAnsi="方正仿宋_GBK" w:eastAsia="方正仿宋_GBK" w:cs="方正仿宋_GBK"/>
          <w:color w:val="auto"/>
          <w:spacing w:val="6"/>
          <w:sz w:val="32"/>
          <w:szCs w:val="32"/>
          <w:lang w:val="en-US" w:eastAsia="zh-CN"/>
        </w:rPr>
        <w:t>3</w:t>
      </w:r>
      <w:r>
        <w:rPr>
          <w:rFonts w:hint="eastAsia" w:ascii="方正仿宋_GBK" w:hAnsi="方正仿宋_GBK" w:eastAsia="方正仿宋_GBK" w:cs="方正仿宋_GBK"/>
          <w:color w:val="auto"/>
          <w:spacing w:val="6"/>
          <w:sz w:val="32"/>
          <w:szCs w:val="32"/>
          <w:lang w:eastAsia="zh-CN"/>
        </w:rPr>
        <w:t>：彩票市场开发、管理及推广费用，指标值≤6</w:t>
      </w:r>
      <w:r>
        <w:rPr>
          <w:rFonts w:hint="eastAsia" w:ascii="方正仿宋_GBK" w:hAnsi="方正仿宋_GBK" w:eastAsia="方正仿宋_GBK" w:cs="方正仿宋_GBK"/>
          <w:color w:val="auto"/>
          <w:spacing w:val="6"/>
          <w:sz w:val="32"/>
          <w:szCs w:val="32"/>
          <w:lang w:val="en-US" w:eastAsia="zh-CN"/>
        </w:rPr>
        <w:t>,</w:t>
      </w:r>
      <w:r>
        <w:rPr>
          <w:rFonts w:hint="eastAsia" w:ascii="方正仿宋_GBK" w:hAnsi="方正仿宋_GBK" w:eastAsia="方正仿宋_GBK" w:cs="方正仿宋_GBK"/>
          <w:color w:val="auto"/>
          <w:spacing w:val="6"/>
          <w:sz w:val="32"/>
          <w:szCs w:val="32"/>
          <w:lang w:eastAsia="zh-CN"/>
        </w:rPr>
        <w:t>057.83万元，实际完成值：5</w:t>
      </w:r>
      <w:r>
        <w:rPr>
          <w:rFonts w:hint="eastAsia" w:ascii="方正仿宋_GBK" w:hAnsi="方正仿宋_GBK" w:eastAsia="方正仿宋_GBK" w:cs="方正仿宋_GBK"/>
          <w:color w:val="auto"/>
          <w:spacing w:val="6"/>
          <w:sz w:val="32"/>
          <w:szCs w:val="32"/>
          <w:lang w:val="en-US" w:eastAsia="zh-CN"/>
        </w:rPr>
        <w:t>,</w:t>
      </w:r>
      <w:r>
        <w:rPr>
          <w:rFonts w:hint="eastAsia" w:ascii="方正仿宋_GBK" w:hAnsi="方正仿宋_GBK" w:eastAsia="方正仿宋_GBK" w:cs="方正仿宋_GBK"/>
          <w:color w:val="auto"/>
          <w:spacing w:val="6"/>
          <w:sz w:val="32"/>
          <w:szCs w:val="32"/>
          <w:lang w:eastAsia="zh-CN"/>
        </w:rPr>
        <w:t>895.7万元，指标完成率</w:t>
      </w:r>
      <w:r>
        <w:rPr>
          <w:rFonts w:hint="eastAsia" w:ascii="方正仿宋_GBK" w:hAnsi="方正仿宋_GBK" w:eastAsia="方正仿宋_GBK" w:cs="方正仿宋_GBK"/>
          <w:color w:val="auto"/>
          <w:spacing w:val="6"/>
          <w:sz w:val="32"/>
          <w:szCs w:val="32"/>
          <w:lang w:val="en-US" w:eastAsia="zh-CN"/>
        </w:rPr>
        <w:t>97.32%。</w:t>
      </w:r>
      <w:r>
        <w:rPr>
          <w:rFonts w:hint="eastAsia" w:ascii="方正仿宋_GBK" w:hAnsi="方正仿宋_GBK" w:eastAsia="方正仿宋_GBK" w:cs="方正仿宋_GBK"/>
          <w:sz w:val="32"/>
          <w:szCs w:val="32"/>
          <w:lang w:val="en-US" w:eastAsia="zh-CN"/>
        </w:rPr>
        <w:t>未完成原因为：</w:t>
      </w:r>
      <w:r>
        <w:rPr>
          <w:rFonts w:hint="eastAsia" w:ascii="方正仿宋_GBK" w:hAnsi="方正仿宋_GBK" w:eastAsia="方正仿宋_GBK" w:cs="方正仿宋_GBK"/>
          <w:sz w:val="32"/>
          <w:szCs w:val="32"/>
        </w:rPr>
        <w:t>因疫情影响，一是项目未开展形成的结余；二是采购时间延期，部分预算结转至2023年</w:t>
      </w:r>
      <w:r>
        <w:rPr>
          <w:rFonts w:hint="eastAsia" w:ascii="方正仿宋_GBK" w:hAnsi="方正仿宋_GBK" w:eastAsia="方正仿宋_GBK" w:cs="方正仿宋_GBK"/>
          <w:sz w:val="32"/>
          <w:szCs w:val="32"/>
          <w:lang w:val="en-US" w:eastAsia="zh-CN"/>
        </w:rPr>
        <w:t>。</w:t>
      </w:r>
    </w:p>
    <w:p>
      <w:pPr>
        <w:numPr>
          <w:ilvl w:val="0"/>
          <w:numId w:val="5"/>
        </w:numPr>
        <w:spacing w:beforeLines="0" w:afterLines="0" w:line="560" w:lineRule="exact"/>
        <w:ind w:firstLine="602" w:firstLineChars="200"/>
        <w:outlineLvl w:val="0"/>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项目效益情况</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b/>
          <w:bCs/>
          <w:color w:val="auto"/>
          <w:spacing w:val="6"/>
          <w:sz w:val="32"/>
          <w:szCs w:val="32"/>
          <w:lang w:eastAsia="zh-CN"/>
        </w:rPr>
      </w:pPr>
      <w:r>
        <w:rPr>
          <w:rFonts w:hint="eastAsia" w:ascii="仿宋_GB2312" w:hAnsi="黑体" w:eastAsia="仿宋_GB2312"/>
          <w:b/>
          <w:bCs/>
          <w:color w:val="auto"/>
          <w:spacing w:val="6"/>
          <w:sz w:val="32"/>
          <w:szCs w:val="32"/>
          <w:lang w:val="en-US" w:eastAsia="zh-CN"/>
        </w:rPr>
        <w:t>①</w:t>
      </w:r>
      <w:r>
        <w:rPr>
          <w:rFonts w:hint="eastAsia" w:ascii="仿宋_GB2312" w:hAnsi="黑体" w:eastAsia="仿宋_GB2312"/>
          <w:b/>
          <w:bCs/>
          <w:color w:val="auto"/>
          <w:spacing w:val="6"/>
          <w:sz w:val="32"/>
          <w:szCs w:val="32"/>
          <w:lang w:eastAsia="zh-CN"/>
        </w:rPr>
        <w:t>经济效益指标：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color w:val="auto"/>
          <w:spacing w:val="6"/>
          <w:sz w:val="32"/>
          <w:szCs w:val="32"/>
          <w:lang w:eastAsia="zh-CN"/>
        </w:rPr>
      </w:pPr>
      <w:r>
        <w:rPr>
          <w:rFonts w:hint="eastAsia" w:ascii="仿宋_GB2312" w:hAnsi="黑体" w:eastAsia="仿宋_GB2312"/>
          <w:color w:val="auto"/>
          <w:spacing w:val="6"/>
          <w:sz w:val="32"/>
          <w:szCs w:val="32"/>
          <w:lang w:eastAsia="zh-CN"/>
        </w:rPr>
        <w:t>全年完成福利彩票销售额，指标值：≥上年度销售额80%，实际完成值：</w:t>
      </w:r>
      <w:r>
        <w:rPr>
          <w:rFonts w:hint="eastAsia" w:ascii="仿宋_GB2312" w:hAnsi="黑体" w:eastAsia="仿宋_GB2312"/>
          <w:color w:val="auto"/>
          <w:spacing w:val="6"/>
          <w:sz w:val="32"/>
          <w:szCs w:val="32"/>
          <w:lang w:val="en-US" w:eastAsia="zh-CN"/>
        </w:rPr>
        <w:t>113.25</w:t>
      </w:r>
      <w:r>
        <w:rPr>
          <w:rFonts w:hint="eastAsia" w:ascii="仿宋_GB2312" w:hAnsi="黑体" w:eastAsia="仿宋_GB2312"/>
          <w:color w:val="auto"/>
          <w:spacing w:val="6"/>
          <w:sz w:val="32"/>
          <w:szCs w:val="32"/>
          <w:lang w:eastAsia="zh-CN"/>
        </w:rPr>
        <w:t>%，指标完成率</w:t>
      </w:r>
      <w:r>
        <w:rPr>
          <w:rFonts w:hint="eastAsia" w:ascii="仿宋_GB2312" w:hAnsi="黑体"/>
          <w:color w:val="auto"/>
          <w:spacing w:val="6"/>
          <w:sz w:val="32"/>
          <w:szCs w:val="32"/>
          <w:lang w:val="en-US" w:eastAsia="zh-CN"/>
        </w:rPr>
        <w:t>141.56</w:t>
      </w:r>
      <w:r>
        <w:rPr>
          <w:rFonts w:hint="eastAsia" w:ascii="仿宋_GB2312" w:hAnsi="黑体" w:eastAsia="仿宋_GB2312"/>
          <w:color w:val="auto"/>
          <w:spacing w:val="6"/>
          <w:sz w:val="32"/>
          <w:szCs w:val="32"/>
          <w:lang w:eastAsia="zh-CN"/>
        </w:rPr>
        <w:t>%</w:t>
      </w:r>
      <w:r>
        <w:rPr>
          <w:rFonts w:hint="eastAsia" w:ascii="仿宋_GB2312" w:hAnsi="黑体"/>
          <w:color w:val="auto"/>
          <w:spacing w:val="6"/>
          <w:sz w:val="32"/>
          <w:szCs w:val="32"/>
          <w:lang w:eastAsia="zh-CN"/>
        </w:rPr>
        <w:t>。</w:t>
      </w:r>
      <w:r>
        <w:rPr>
          <w:rFonts w:hint="eastAsia" w:ascii="仿宋_GB2312" w:hAnsi="黑体"/>
          <w:color w:val="auto"/>
          <w:spacing w:val="6"/>
          <w:sz w:val="32"/>
          <w:szCs w:val="32"/>
          <w:lang w:val="en-US" w:eastAsia="zh-CN"/>
        </w:rPr>
        <w:t>超额原因为</w:t>
      </w:r>
      <w:r>
        <w:rPr>
          <w:rFonts w:hint="eastAsia" w:ascii="仿宋_GB2312" w:hAnsi="黑体"/>
          <w:color w:val="auto"/>
          <w:spacing w:val="6"/>
          <w:sz w:val="32"/>
          <w:szCs w:val="32"/>
        </w:rPr>
        <w:t>市场培育速率难以预测，导致2022年初对年度福利彩票销售规模的预测趋于保守</w:t>
      </w:r>
      <w:r>
        <w:rPr>
          <w:rFonts w:hint="eastAsia" w:ascii="仿宋_GB2312" w:hAnsi="黑体"/>
          <w:color w:val="auto"/>
          <w:spacing w:val="6"/>
          <w:sz w:val="32"/>
          <w:szCs w:val="32"/>
          <w:lang w:val="en-US"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b/>
          <w:bCs/>
          <w:color w:val="auto"/>
          <w:spacing w:val="6"/>
          <w:sz w:val="32"/>
          <w:szCs w:val="32"/>
          <w:lang w:eastAsia="zh-CN"/>
        </w:rPr>
      </w:pPr>
      <w:r>
        <w:rPr>
          <w:rFonts w:hint="eastAsia" w:ascii="仿宋_GB2312" w:hAnsi="黑体" w:eastAsia="仿宋_GB2312"/>
          <w:b/>
          <w:bCs/>
          <w:color w:val="auto"/>
          <w:spacing w:val="6"/>
          <w:sz w:val="32"/>
          <w:szCs w:val="32"/>
          <w:lang w:val="en-US" w:eastAsia="zh-CN"/>
        </w:rPr>
        <w:t>②</w:t>
      </w:r>
      <w:r>
        <w:rPr>
          <w:rFonts w:hint="eastAsia" w:ascii="仿宋_GB2312" w:hAnsi="黑体" w:eastAsia="仿宋_GB2312"/>
          <w:b/>
          <w:bCs/>
          <w:color w:val="auto"/>
          <w:spacing w:val="6"/>
          <w:sz w:val="32"/>
          <w:szCs w:val="32"/>
          <w:lang w:eastAsia="zh-CN"/>
        </w:rPr>
        <w:t>社会效益指标：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color w:val="auto"/>
          <w:spacing w:val="6"/>
          <w:sz w:val="32"/>
          <w:szCs w:val="32"/>
          <w:lang w:val="en-US" w:eastAsia="zh-CN"/>
        </w:rPr>
      </w:pPr>
      <w:r>
        <w:rPr>
          <w:rFonts w:hint="eastAsia" w:ascii="仿宋_GB2312" w:hAnsi="黑体" w:eastAsia="仿宋_GB2312"/>
          <w:color w:val="auto"/>
          <w:spacing w:val="6"/>
          <w:sz w:val="32"/>
          <w:szCs w:val="32"/>
          <w:lang w:val="en-US" w:eastAsia="zh-CN"/>
        </w:rPr>
        <w:t>全年筹集福利彩票公益金金额，</w:t>
      </w:r>
      <w:r>
        <w:rPr>
          <w:rFonts w:hint="eastAsia" w:ascii="仿宋_GB2312" w:hAnsi="黑体" w:eastAsia="仿宋_GB2312"/>
          <w:color w:val="auto"/>
          <w:spacing w:val="6"/>
          <w:sz w:val="32"/>
          <w:szCs w:val="32"/>
          <w:lang w:eastAsia="zh-CN"/>
        </w:rPr>
        <w:t>指标值：≥上年度销售额80%，实际完成值：</w:t>
      </w:r>
      <w:r>
        <w:rPr>
          <w:rFonts w:hint="eastAsia" w:ascii="仿宋_GB2312" w:hAnsi="黑体" w:eastAsia="仿宋_GB2312"/>
          <w:color w:val="auto"/>
          <w:spacing w:val="6"/>
          <w:sz w:val="32"/>
          <w:szCs w:val="32"/>
          <w:lang w:val="en-US" w:eastAsia="zh-CN"/>
        </w:rPr>
        <w:t>112.59</w:t>
      </w:r>
      <w:r>
        <w:rPr>
          <w:rFonts w:hint="eastAsia" w:ascii="仿宋_GB2312" w:hAnsi="黑体" w:eastAsia="仿宋_GB2312"/>
          <w:color w:val="auto"/>
          <w:spacing w:val="6"/>
          <w:sz w:val="32"/>
          <w:szCs w:val="32"/>
          <w:lang w:eastAsia="zh-CN"/>
        </w:rPr>
        <w:t>%，指标完成率</w:t>
      </w:r>
      <w:r>
        <w:rPr>
          <w:rFonts w:hint="eastAsia" w:ascii="仿宋_GB2312" w:hAnsi="黑体"/>
          <w:color w:val="auto"/>
          <w:spacing w:val="6"/>
          <w:sz w:val="32"/>
          <w:szCs w:val="32"/>
          <w:lang w:val="en-US" w:eastAsia="zh-CN"/>
        </w:rPr>
        <w:t>140.74</w:t>
      </w:r>
      <w:r>
        <w:rPr>
          <w:rFonts w:hint="eastAsia" w:ascii="仿宋_GB2312" w:hAnsi="黑体" w:eastAsia="仿宋_GB2312"/>
          <w:color w:val="auto"/>
          <w:spacing w:val="6"/>
          <w:sz w:val="32"/>
          <w:szCs w:val="32"/>
          <w:lang w:eastAsia="zh-CN"/>
        </w:rPr>
        <w:t>%</w:t>
      </w:r>
      <w:r>
        <w:rPr>
          <w:rFonts w:hint="eastAsia" w:ascii="仿宋_GB2312" w:hAnsi="黑体"/>
          <w:color w:val="auto"/>
          <w:spacing w:val="6"/>
          <w:sz w:val="32"/>
          <w:szCs w:val="32"/>
          <w:lang w:eastAsia="zh-CN"/>
        </w:rPr>
        <w:t>。</w:t>
      </w:r>
      <w:r>
        <w:rPr>
          <w:rFonts w:hint="eastAsia" w:ascii="仿宋_GB2312" w:hAnsi="黑体"/>
          <w:color w:val="auto"/>
          <w:spacing w:val="6"/>
          <w:sz w:val="32"/>
          <w:szCs w:val="32"/>
          <w:lang w:val="en-US" w:eastAsia="zh-CN"/>
        </w:rPr>
        <w:t>超额原因为根据2022年彩票销售额计提缴纳公益金。</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b/>
          <w:bCs/>
          <w:color w:val="auto"/>
          <w:spacing w:val="6"/>
          <w:sz w:val="32"/>
          <w:szCs w:val="32"/>
          <w:lang w:val="en-US" w:eastAsia="zh-CN"/>
        </w:rPr>
      </w:pPr>
      <w:r>
        <w:rPr>
          <w:rFonts w:hint="eastAsia" w:ascii="仿宋_GB2312" w:hAnsi="黑体" w:eastAsia="仿宋_GB2312"/>
          <w:b/>
          <w:bCs/>
          <w:color w:val="auto"/>
          <w:spacing w:val="6"/>
          <w:sz w:val="32"/>
          <w:szCs w:val="32"/>
          <w:lang w:val="en-US" w:eastAsia="zh-CN"/>
        </w:rPr>
        <w:t>③满意度指标：</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color w:val="auto"/>
          <w:spacing w:val="6"/>
          <w:sz w:val="32"/>
          <w:szCs w:val="32"/>
          <w:lang w:val="en-US" w:eastAsia="zh-CN"/>
        </w:rPr>
      </w:pPr>
      <w:r>
        <w:rPr>
          <w:rFonts w:hint="eastAsia" w:ascii="仿宋_GB2312" w:hAnsi="黑体" w:eastAsia="仿宋_GB2312"/>
          <w:color w:val="auto"/>
          <w:spacing w:val="6"/>
          <w:sz w:val="32"/>
          <w:szCs w:val="32"/>
          <w:lang w:val="en-US" w:eastAsia="zh-CN"/>
        </w:rPr>
        <w:t>指标1：彩民满意度，指标值：≥9</w:t>
      </w:r>
      <w:r>
        <w:rPr>
          <w:rFonts w:hint="eastAsia" w:ascii="仿宋_GB2312" w:hAnsi="黑体"/>
          <w:color w:val="auto"/>
          <w:spacing w:val="6"/>
          <w:sz w:val="32"/>
          <w:szCs w:val="32"/>
          <w:lang w:val="en-US" w:eastAsia="zh-CN"/>
        </w:rPr>
        <w:t>0</w:t>
      </w:r>
      <w:r>
        <w:rPr>
          <w:rFonts w:hint="eastAsia" w:ascii="仿宋_GB2312" w:hAnsi="黑体" w:eastAsia="仿宋_GB2312"/>
          <w:color w:val="auto"/>
          <w:spacing w:val="6"/>
          <w:sz w:val="32"/>
          <w:szCs w:val="32"/>
          <w:lang w:val="en-US" w:eastAsia="zh-CN"/>
        </w:rPr>
        <w:t>%，实际完成值：9</w:t>
      </w:r>
      <w:r>
        <w:rPr>
          <w:rFonts w:hint="eastAsia" w:ascii="仿宋_GB2312" w:hAnsi="黑体"/>
          <w:color w:val="auto"/>
          <w:spacing w:val="6"/>
          <w:sz w:val="32"/>
          <w:szCs w:val="32"/>
          <w:lang w:val="en-US" w:eastAsia="zh-CN"/>
        </w:rPr>
        <w:t>7.83</w:t>
      </w:r>
      <w:r>
        <w:rPr>
          <w:rFonts w:hint="eastAsia" w:ascii="仿宋_GB2312" w:hAnsi="黑体" w:eastAsia="仿宋_GB2312"/>
          <w:color w:val="auto"/>
          <w:spacing w:val="6"/>
          <w:sz w:val="32"/>
          <w:szCs w:val="32"/>
          <w:lang w:val="en-US" w:eastAsia="zh-CN"/>
        </w:rPr>
        <w:t>%，指标完成率10</w:t>
      </w:r>
      <w:r>
        <w:rPr>
          <w:rFonts w:hint="eastAsia" w:ascii="仿宋_GB2312" w:hAnsi="黑体"/>
          <w:color w:val="auto"/>
          <w:spacing w:val="6"/>
          <w:sz w:val="32"/>
          <w:szCs w:val="32"/>
          <w:lang w:val="en-US" w:eastAsia="zh-CN"/>
        </w:rPr>
        <w:t>8.7</w:t>
      </w:r>
      <w:r>
        <w:rPr>
          <w:rFonts w:hint="eastAsia" w:ascii="仿宋_GB2312" w:hAnsi="黑体" w:eastAsia="仿宋_GB2312"/>
          <w:color w:val="auto"/>
          <w:spacing w:val="6"/>
          <w:sz w:val="32"/>
          <w:szCs w:val="32"/>
          <w:lang w:val="en-US" w:eastAsia="zh-CN"/>
        </w:rPr>
        <w:t>%</w:t>
      </w:r>
      <w:r>
        <w:rPr>
          <w:rFonts w:hint="eastAsia" w:ascii="仿宋_GB2312" w:hAnsi="黑体"/>
          <w:color w:val="auto"/>
          <w:spacing w:val="6"/>
          <w:sz w:val="32"/>
          <w:szCs w:val="32"/>
          <w:lang w:val="en-US" w:eastAsia="zh-CN"/>
        </w:rPr>
        <w:t>。</w:t>
      </w:r>
    </w:p>
    <w:p>
      <w:pPr>
        <w:pageBreakBefore w:val="0"/>
        <w:kinsoku/>
        <w:wordWrap/>
        <w:overflowPunct/>
        <w:topLinePunct w:val="0"/>
        <w:autoSpaceDE/>
        <w:autoSpaceDN/>
        <w:bidi w:val="0"/>
        <w:adjustRightInd/>
        <w:snapToGrid/>
        <w:spacing w:beforeLines="0" w:afterLines="0" w:line="560" w:lineRule="exact"/>
        <w:ind w:left="0" w:leftChars="0" w:right="0" w:rightChars="0" w:firstLine="664" w:firstLineChars="200"/>
        <w:textAlignment w:val="auto"/>
        <w:rPr>
          <w:rFonts w:hint="eastAsia" w:ascii="仿宋_GB2312" w:hAnsi="黑体" w:eastAsia="仿宋_GB2312"/>
          <w:color w:val="auto"/>
          <w:spacing w:val="6"/>
          <w:sz w:val="32"/>
          <w:szCs w:val="32"/>
          <w:lang w:val="en-US" w:eastAsia="zh-CN"/>
        </w:rPr>
      </w:pPr>
      <w:r>
        <w:rPr>
          <w:rFonts w:hint="eastAsia" w:ascii="仿宋_GB2312" w:hAnsi="黑体" w:eastAsia="仿宋_GB2312"/>
          <w:color w:val="auto"/>
          <w:spacing w:val="6"/>
          <w:sz w:val="32"/>
          <w:szCs w:val="32"/>
          <w:lang w:val="en-US" w:eastAsia="zh-CN"/>
        </w:rPr>
        <w:t>指标2：销售网点满意度，指标值：≥9</w:t>
      </w:r>
      <w:r>
        <w:rPr>
          <w:rFonts w:hint="eastAsia" w:ascii="仿宋_GB2312" w:hAnsi="黑体"/>
          <w:color w:val="auto"/>
          <w:spacing w:val="6"/>
          <w:sz w:val="32"/>
          <w:szCs w:val="32"/>
          <w:lang w:val="en-US" w:eastAsia="zh-CN"/>
        </w:rPr>
        <w:t>0</w:t>
      </w:r>
      <w:r>
        <w:rPr>
          <w:rFonts w:hint="eastAsia" w:ascii="仿宋_GB2312" w:hAnsi="黑体" w:eastAsia="仿宋_GB2312"/>
          <w:color w:val="auto"/>
          <w:spacing w:val="6"/>
          <w:sz w:val="32"/>
          <w:szCs w:val="32"/>
          <w:lang w:val="en-US" w:eastAsia="zh-CN"/>
        </w:rPr>
        <w:t>%，实际完成值：</w:t>
      </w:r>
      <w:r>
        <w:rPr>
          <w:rFonts w:hint="eastAsia" w:ascii="仿宋_GB2312" w:hAnsi="黑体"/>
          <w:color w:val="auto"/>
          <w:spacing w:val="6"/>
          <w:sz w:val="32"/>
          <w:szCs w:val="32"/>
          <w:lang w:val="en-US" w:eastAsia="zh-CN"/>
        </w:rPr>
        <w:t>96.41</w:t>
      </w:r>
      <w:r>
        <w:rPr>
          <w:rFonts w:hint="eastAsia" w:ascii="仿宋_GB2312" w:hAnsi="黑体" w:eastAsia="仿宋_GB2312"/>
          <w:color w:val="auto"/>
          <w:spacing w:val="6"/>
          <w:sz w:val="32"/>
          <w:szCs w:val="32"/>
          <w:lang w:val="en-US" w:eastAsia="zh-CN"/>
        </w:rPr>
        <w:t>%，指标完成率</w:t>
      </w:r>
      <w:r>
        <w:rPr>
          <w:rFonts w:hint="eastAsia" w:ascii="仿宋_GB2312" w:hAnsi="黑体"/>
          <w:color w:val="auto"/>
          <w:spacing w:val="6"/>
          <w:sz w:val="32"/>
          <w:szCs w:val="32"/>
          <w:lang w:val="en-US" w:eastAsia="zh-CN"/>
        </w:rPr>
        <w:t>107.12</w:t>
      </w:r>
      <w:r>
        <w:rPr>
          <w:rFonts w:hint="eastAsia" w:ascii="仿宋_GB2312" w:hAnsi="黑体" w:eastAsia="仿宋_GB2312"/>
          <w:color w:val="auto"/>
          <w:spacing w:val="6"/>
          <w:sz w:val="32"/>
          <w:szCs w:val="32"/>
          <w:lang w:val="en-US" w:eastAsia="zh-CN"/>
        </w:rPr>
        <w:t>%</w:t>
      </w:r>
      <w:r>
        <w:rPr>
          <w:rFonts w:hint="eastAsia" w:ascii="仿宋_GB2312" w:hAnsi="黑体"/>
          <w:color w:val="auto"/>
          <w:spacing w:val="6"/>
          <w:sz w:val="32"/>
          <w:szCs w:val="32"/>
          <w:lang w:val="en-US" w:eastAsia="zh-CN"/>
        </w:rPr>
        <w:t>。</w:t>
      </w:r>
      <w:r>
        <w:rPr>
          <w:rFonts w:hint="eastAsia" w:ascii="仿宋_GB2312" w:hAnsi="黑体" w:eastAsia="仿宋_GB2312"/>
          <w:color w:val="auto"/>
          <w:spacing w:val="6"/>
          <w:sz w:val="32"/>
          <w:szCs w:val="32"/>
          <w:lang w:val="en-US" w:eastAsia="zh-CN"/>
        </w:rPr>
        <w:t xml:space="preserve">  </w:t>
      </w:r>
    </w:p>
    <w:p>
      <w:pPr>
        <w:spacing w:beforeLines="0" w:afterLines="0" w:line="560" w:lineRule="exact"/>
        <w:ind w:firstLine="60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、主要经验及做法、存在的问题及原因分析</w:t>
      </w:r>
    </w:p>
    <w:p>
      <w:pPr>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主要经验及做法</w:t>
      </w:r>
    </w:p>
    <w:p>
      <w:pPr>
        <w:pStyle w:val="4"/>
        <w:pageBreakBefore w:val="0"/>
        <w:kinsoku/>
        <w:wordWrap/>
        <w:overflowPunct/>
        <w:topLinePunct w:val="0"/>
        <w:autoSpaceDE/>
        <w:autoSpaceDN/>
        <w:bidi w:val="0"/>
        <w:adjustRightInd/>
        <w:snapToGrid/>
        <w:spacing w:before="0" w:beforeLines="0" w:after="0" w:afterLines="0" w:line="560" w:lineRule="exact"/>
        <w:ind w:left="0" w:leftChars="0" w:right="0" w:rightChars="0" w:firstLine="664" w:firstLineChars="200"/>
        <w:textAlignment w:val="auto"/>
        <w:rPr>
          <w:rFonts w:hint="eastAsia" w:ascii="方正仿宋_GBK" w:hAnsi="方正仿宋_GBK" w:eastAsia="方正仿宋_GBK" w:cs="方正仿宋_GBK"/>
          <w:b/>
          <w:bCs/>
          <w:spacing w:val="6"/>
          <w:sz w:val="32"/>
          <w:szCs w:val="32"/>
        </w:rPr>
      </w:pPr>
      <w:bookmarkStart w:id="2" w:name="_Toc80817272"/>
      <w:r>
        <w:rPr>
          <w:rFonts w:hint="eastAsia" w:ascii="方正仿宋_GBK" w:hAnsi="方正仿宋_GBK" w:eastAsia="方正仿宋_GBK" w:cs="方正仿宋_GBK"/>
          <w:b/>
          <w:bCs/>
          <w:spacing w:val="6"/>
          <w:sz w:val="32"/>
          <w:szCs w:val="32"/>
          <w:lang w:val="en-US" w:eastAsia="zh-CN"/>
        </w:rPr>
        <w:t>1.</w:t>
      </w:r>
      <w:r>
        <w:rPr>
          <w:rFonts w:hint="eastAsia" w:ascii="方正仿宋_GBK" w:hAnsi="方正仿宋_GBK" w:eastAsia="方正仿宋_GBK" w:cs="方正仿宋_GBK"/>
          <w:b/>
          <w:bCs/>
          <w:spacing w:val="6"/>
          <w:sz w:val="32"/>
          <w:szCs w:val="32"/>
        </w:rPr>
        <w:t>统筹兼顾，极大程度发挥了</w:t>
      </w:r>
      <w:r>
        <w:rPr>
          <w:rFonts w:hint="eastAsia" w:ascii="方正仿宋_GBK" w:hAnsi="方正仿宋_GBK" w:eastAsia="方正仿宋_GBK" w:cs="方正仿宋_GBK"/>
          <w:b/>
          <w:bCs/>
          <w:spacing w:val="6"/>
          <w:sz w:val="32"/>
          <w:szCs w:val="32"/>
          <w:lang w:eastAsia="zh-CN"/>
        </w:rPr>
        <w:t>预算</w:t>
      </w:r>
      <w:r>
        <w:rPr>
          <w:rFonts w:hint="eastAsia" w:ascii="方正仿宋_GBK" w:hAnsi="方正仿宋_GBK" w:eastAsia="方正仿宋_GBK" w:cs="方正仿宋_GBK"/>
          <w:b/>
          <w:bCs/>
          <w:spacing w:val="6"/>
          <w:sz w:val="32"/>
          <w:szCs w:val="32"/>
        </w:rPr>
        <w:t>资金的作用</w:t>
      </w:r>
      <w:bookmarkEnd w:id="2"/>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我中心紧紧围绕主责主业，</w:t>
      </w:r>
      <w:r>
        <w:rPr>
          <w:rFonts w:hint="eastAsia" w:ascii="方正仿宋_GBK" w:hAnsi="方正仿宋_GBK" w:eastAsia="方正仿宋_GBK" w:cs="方正仿宋_GBK"/>
          <w:sz w:val="32"/>
          <w:szCs w:val="32"/>
          <w:lang w:val="en-US" w:eastAsia="zh-CN"/>
        </w:rPr>
        <w:t>始终</w:t>
      </w:r>
      <w:r>
        <w:rPr>
          <w:rFonts w:hint="eastAsia" w:ascii="方正仿宋_GBK" w:hAnsi="方正仿宋_GBK" w:eastAsia="方正仿宋_GBK" w:cs="方正仿宋_GBK"/>
          <w:sz w:val="32"/>
          <w:szCs w:val="32"/>
        </w:rPr>
        <w:t>坚持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统筹兼顾、突出重点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的原则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在编制年度预算工作过程中，</w:t>
      </w:r>
      <w:r>
        <w:rPr>
          <w:rFonts w:hint="eastAsia" w:ascii="方正仿宋_GBK" w:hAnsi="方正仿宋_GBK" w:eastAsia="方正仿宋_GBK" w:cs="方正仿宋_GBK"/>
          <w:sz w:val="32"/>
          <w:szCs w:val="32"/>
        </w:rPr>
        <w:t>提前启动论证、评审、绩效等前期手续工作，保证项目政策依据充分、要素内容完整详实、绩效目标指标量化科学、适用科目准确精细、资金支付计划切实可行</w:t>
      </w:r>
      <w:r>
        <w:rPr>
          <w:rFonts w:hint="eastAsia" w:ascii="方正仿宋_GBK" w:hAnsi="方正仿宋_GBK" w:eastAsia="方正仿宋_GBK" w:cs="方正仿宋_GBK"/>
          <w:sz w:val="32"/>
          <w:szCs w:val="32"/>
          <w:lang w:val="en-US" w:eastAsia="zh-CN"/>
        </w:rPr>
        <w:t>,顺利完成了年度彩票销售任务和筹集公益金，又完成全年重大项目实施，为我区福利彩票事业高质量发展奠定了坚实的基础。</w:t>
      </w:r>
    </w:p>
    <w:p>
      <w:pPr>
        <w:pStyle w:val="4"/>
        <w:pageBreakBefore w:val="0"/>
        <w:numPr>
          <w:ilvl w:val="0"/>
          <w:numId w:val="6"/>
        </w:numPr>
        <w:kinsoku/>
        <w:wordWrap/>
        <w:overflowPunct/>
        <w:topLinePunct w:val="0"/>
        <w:autoSpaceDE/>
        <w:autoSpaceDN/>
        <w:bidi w:val="0"/>
        <w:adjustRightInd/>
        <w:snapToGrid/>
        <w:spacing w:before="0" w:beforeLines="0" w:after="0" w:afterLines="0" w:line="560" w:lineRule="exact"/>
        <w:ind w:left="0" w:leftChars="0" w:right="0" w:rightChars="0" w:firstLine="664" w:firstLineChars="200"/>
        <w:textAlignment w:val="auto"/>
        <w:rPr>
          <w:rFonts w:hint="eastAsia" w:ascii="方正仿宋_GBK" w:hAnsi="方正仿宋_GBK" w:eastAsia="方正仿宋_GBK" w:cs="方正仿宋_GBK"/>
          <w:b/>
          <w:bCs/>
          <w:spacing w:val="6"/>
          <w:sz w:val="32"/>
          <w:szCs w:val="32"/>
        </w:rPr>
      </w:pPr>
      <w:bookmarkStart w:id="3" w:name="_Toc80817273"/>
      <w:r>
        <w:rPr>
          <w:rFonts w:hint="eastAsia" w:ascii="方正仿宋_GBK" w:hAnsi="方正仿宋_GBK" w:eastAsia="方正仿宋_GBK" w:cs="方正仿宋_GBK"/>
          <w:b/>
          <w:bCs/>
          <w:spacing w:val="6"/>
          <w:sz w:val="32"/>
          <w:szCs w:val="32"/>
        </w:rPr>
        <w:t>加强内部控制，为项目建设提供坚强保障</w:t>
      </w:r>
      <w:bookmarkEnd w:id="3"/>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在项目建设过程中，执行法律法规及上级文件政策的基础上，能够结合</w:t>
      </w:r>
      <w:r>
        <w:rPr>
          <w:rFonts w:hint="eastAsia" w:ascii="方正仿宋_GBK" w:hAnsi="方正仿宋_GBK" w:eastAsia="方正仿宋_GBK" w:cs="方正仿宋_GBK"/>
          <w:spacing w:val="6"/>
          <w:sz w:val="32"/>
          <w:szCs w:val="32"/>
          <w:lang w:eastAsia="zh-CN"/>
        </w:rPr>
        <w:t>单位内部管理控制</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z w:val="32"/>
          <w:szCs w:val="32"/>
          <w:highlight w:val="none"/>
          <w:lang w:val="en-US" w:eastAsia="zh-CN"/>
        </w:rPr>
        <w:t>在项目资金使用过程中严格把关，按照项目资金使用范围做好日常审核工作，</w:t>
      </w:r>
      <w:r>
        <w:rPr>
          <w:rFonts w:hint="eastAsia" w:ascii="方正仿宋_GBK" w:hAnsi="方正仿宋_GBK" w:eastAsia="方正仿宋_GBK" w:cs="方正仿宋_GBK"/>
          <w:sz w:val="32"/>
          <w:szCs w:val="32"/>
          <w:lang w:val="en-US" w:eastAsia="zh-CN"/>
        </w:rPr>
        <w:t>进一步加强资金管理和规范使用，</w:t>
      </w:r>
      <w:r>
        <w:rPr>
          <w:rFonts w:hint="eastAsia" w:ascii="方正仿宋_GBK" w:hAnsi="方正仿宋_GBK" w:eastAsia="方正仿宋_GBK" w:cs="方正仿宋_GBK"/>
          <w:sz w:val="32"/>
          <w:szCs w:val="32"/>
        </w:rPr>
        <w:t>真正</w:t>
      </w:r>
      <w:r>
        <w:rPr>
          <w:rFonts w:hint="eastAsia" w:ascii="方正仿宋_GBK" w:hAnsi="方正仿宋_GBK" w:eastAsia="方正仿宋_GBK" w:cs="方正仿宋_GBK"/>
          <w:sz w:val="32"/>
          <w:szCs w:val="32"/>
          <w:lang w:val="en-US" w:eastAsia="zh-CN"/>
        </w:rPr>
        <w:t>做到</w:t>
      </w:r>
      <w:r>
        <w:rPr>
          <w:rFonts w:hint="eastAsia" w:ascii="方正仿宋_GBK" w:hAnsi="方正仿宋_GBK" w:eastAsia="方正仿宋_GBK" w:cs="方正仿宋_GBK"/>
          <w:sz w:val="32"/>
          <w:szCs w:val="32"/>
        </w:rPr>
        <w:t>把资金使用落到实处</w:t>
      </w:r>
      <w:r>
        <w:rPr>
          <w:rFonts w:hint="eastAsia" w:ascii="方正仿宋_GBK" w:hAnsi="方正仿宋_GBK" w:eastAsia="方正仿宋_GBK" w:cs="方正仿宋_GBK"/>
          <w:sz w:val="32"/>
          <w:szCs w:val="32"/>
          <w:lang w:eastAsia="zh-CN"/>
        </w:rPr>
        <w:t>。</w:t>
      </w:r>
    </w:p>
    <w:p>
      <w:pPr>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）存在的问题及原因分析</w:t>
      </w:r>
    </w:p>
    <w:p>
      <w:pPr>
        <w:spacing w:beforeLines="0" w:afterLines="0" w:line="560" w:lineRule="exact"/>
        <w:ind w:firstLine="640" w:firstLineChars="200"/>
        <w:outlineLvl w:val="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32"/>
          <w:szCs w:val="32"/>
          <w:lang w:val="en-US" w:eastAsia="zh-CN"/>
        </w:rPr>
        <w:t>我中心个别项目支出执行部门具体项目立项可行性调研论证工作还不够扎实，部分项目绩效目标的设定不够明确。主要原因在于“花钱必问效，无效必问责”的理念还不够深入人心，工作不够细致， 在今后工作中，要通过培训教育和管理措施，加以改进。</w:t>
      </w:r>
    </w:p>
    <w:p>
      <w:pPr>
        <w:numPr>
          <w:ilvl w:val="0"/>
          <w:numId w:val="7"/>
        </w:numPr>
        <w:spacing w:beforeLines="0" w:afterLines="0" w:line="560" w:lineRule="exact"/>
        <w:ind w:firstLine="600" w:firstLineChars="200"/>
        <w:rPr>
          <w:rFonts w:ascii="黑体" w:hAnsi="黑体" w:eastAsia="黑体"/>
          <w:sz w:val="32"/>
          <w:szCs w:val="32"/>
        </w:rPr>
      </w:pPr>
      <w:r>
        <w:rPr>
          <w:rFonts w:hint="eastAsia" w:ascii="黑体" w:hAnsi="黑体" w:eastAsia="黑体"/>
          <w:sz w:val="32"/>
          <w:szCs w:val="32"/>
        </w:rPr>
        <w:t>有关建议</w:t>
      </w:r>
    </w:p>
    <w:p>
      <w:pPr>
        <w:spacing w:beforeLines="0" w:afterLines="0" w:line="560" w:lineRule="exact"/>
        <w:ind w:firstLine="600" w:firstLineChars="200"/>
        <w:outlineLvl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无。</w:t>
      </w:r>
    </w:p>
    <w:p>
      <w:pPr>
        <w:spacing w:beforeLines="0" w:afterLines="0" w:line="560" w:lineRule="exact"/>
        <w:ind w:firstLine="600" w:firstLineChars="200"/>
        <w:rPr>
          <w:rFonts w:ascii="仿宋_GB2312"/>
          <w:bCs/>
          <w:sz w:val="32"/>
          <w:szCs w:val="32"/>
        </w:rPr>
      </w:pPr>
      <w:r>
        <w:rPr>
          <w:rFonts w:hint="eastAsia" w:ascii="黑体" w:hAnsi="黑体" w:eastAsia="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0" w:firstLineChars="200"/>
        <w:jc w:val="both"/>
        <w:textAlignment w:val="auto"/>
        <w:outlineLvl w:val="0"/>
        <w:rPr>
          <w:rFonts w:hint="eastAsia" w:ascii="仿宋_GB2312" w:eastAsia="仿宋_GB2312"/>
          <w:spacing w:val="-4"/>
          <w:sz w:val="32"/>
          <w:szCs w:val="32"/>
        </w:rPr>
      </w:pPr>
      <w:r>
        <w:rPr>
          <w:rFonts w:hint="eastAsia" w:ascii="方正仿宋_GBK" w:hAnsi="方正仿宋_GBK" w:eastAsia="方正仿宋_GBK" w:cs="方正仿宋_GBK"/>
          <w:sz w:val="32"/>
          <w:szCs w:val="32"/>
          <w:lang w:val="en-US" w:eastAsia="zh-CN"/>
        </w:rPr>
        <w:t>无其他需要说明问题。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744" w:leftChars="0" w:right="0" w:rightChars="0" w:hanging="3744" w:hangingChars="1200"/>
        <w:jc w:val="center"/>
        <w:textAlignment w:val="auto"/>
        <w:outlineLvl w:val="9"/>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744" w:leftChars="0" w:right="0" w:rightChars="0" w:hanging="3744" w:hangingChars="1200"/>
        <w:jc w:val="center"/>
        <w:textAlignment w:val="auto"/>
        <w:outlineLvl w:val="9"/>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744" w:leftChars="0" w:right="0" w:rightChars="0" w:hanging="3744" w:hangingChars="1200"/>
        <w:jc w:val="center"/>
        <w:textAlignment w:val="auto"/>
        <w:outlineLvl w:val="9"/>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744" w:leftChars="0" w:right="0" w:rightChars="0" w:hanging="3744" w:hangingChars="1200"/>
        <w:jc w:val="center"/>
        <w:textAlignment w:val="auto"/>
        <w:outlineLvl w:val="9"/>
        <w:rPr>
          <w:rFonts w:hint="eastAsia" w:ascii="仿宋_GB2312" w:eastAsia="仿宋_GB2312"/>
          <w:spacing w:val="-4"/>
          <w:sz w:val="32"/>
          <w:szCs w:val="32"/>
        </w:rPr>
      </w:pPr>
      <w:bookmarkStart w:id="4" w:name="_GoBack"/>
      <w:r>
        <w:rPr>
          <w:sz w:val="32"/>
        </w:rPr>
        <w:pict>
          <v:shape id="_x0000_s1027" o:spid="_x0000_s1027" o:spt="201" type="#_x0000_t201" style="position:absolute;left:0pt;margin-left:160.75pt;margin-top:-65.1pt;height:120.8pt;width:120.8pt;z-index:-251657216;mso-width-relative:page;mso-height-relative:page;" o:ole="t" filled="f" o:preferrelative="t" stroked="f" coordsize="21600,21600">
            <v:path/>
            <v:fill on="f" focussize="0,0"/>
            <v:stroke on="f"/>
            <v:imagedata r:id="rId7" o:title=""/>
            <o:lock v:ext="edit" aspectratio="f"/>
          </v:shape>
          <w:control r:id="rId6" w:name="Control 3" w:shapeid="_x0000_s1027"/>
        </w:pict>
      </w:r>
      <w:bookmarkEnd w:id="4"/>
      <w:r>
        <w:rPr>
          <w:rFonts w:hint="eastAsia" w:ascii="仿宋_GB2312" w:eastAsia="仿宋_GB2312"/>
          <w:spacing w:val="-4"/>
          <w:sz w:val="32"/>
          <w:szCs w:val="32"/>
        </w:rPr>
        <w:t xml:space="preserve">新疆维吾尔自治区福利彩票发行中心 </w:t>
      </w:r>
    </w:p>
    <w:p>
      <w:pPr>
        <w:keepNext w:val="0"/>
        <w:keepLines w:val="0"/>
        <w:pageBreakBefore w:val="0"/>
        <w:widowControl w:val="0"/>
        <w:kinsoku/>
        <w:wordWrap/>
        <w:overflowPunct/>
        <w:topLinePunct w:val="0"/>
        <w:autoSpaceDE/>
        <w:autoSpaceDN/>
        <w:bidi w:val="0"/>
        <w:adjustRightInd/>
        <w:snapToGrid/>
        <w:spacing w:line="500" w:lineRule="exact"/>
        <w:ind w:left="3744" w:leftChars="0" w:right="0" w:rightChars="0" w:hanging="3744" w:hangingChars="1200"/>
        <w:jc w:val="center"/>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2023年4月12日</w:t>
      </w: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pStyle w:val="2"/>
        <w:rPr>
          <w:rFonts w:hint="eastAsia" w:ascii="仿宋_GB2312" w:eastAsia="仿宋_GB2312"/>
          <w:sz w:val="32"/>
          <w:szCs w:val="32"/>
          <w:u w:val="single"/>
        </w:rPr>
      </w:pPr>
    </w:p>
    <w:p>
      <w:pPr>
        <w:rPr>
          <w:rFonts w:hint="eastAsia" w:ascii="仿宋_GB2312" w:eastAsia="仿宋_GB2312"/>
          <w:sz w:val="32"/>
          <w:szCs w:val="32"/>
          <w:u w:val="single"/>
        </w:rPr>
      </w:pPr>
    </w:p>
    <w:p>
      <w:pPr>
        <w:pStyle w:val="2"/>
        <w:rPr>
          <w:rFonts w:hint="eastAsia" w:ascii="仿宋_GB2312" w:eastAsia="仿宋_GB2312"/>
          <w:sz w:val="32"/>
          <w:szCs w:val="32"/>
          <w:u w:val="single"/>
        </w:rPr>
      </w:pPr>
    </w:p>
    <w:p>
      <w:pPr>
        <w:pStyle w:val="2"/>
        <w:jc w:val="both"/>
        <w:rPr>
          <w:rFonts w:hint="eastAsia"/>
        </w:rPr>
      </w:pPr>
    </w:p>
    <w:p>
      <w:pPr>
        <w:spacing w:line="400" w:lineRule="exact"/>
        <w:rPr>
          <w:rFonts w:hint="eastAsia" w:ascii="仿宋_GB2312" w:eastAsia="仿宋_GB2312"/>
          <w:sz w:val="32"/>
          <w:szCs w:val="32"/>
          <w:u w:val="thick"/>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spacing w:line="400" w:lineRule="exact"/>
        <w:jc w:val="center"/>
        <w:rPr>
          <w:rFonts w:hint="eastAsia" w:ascii="仿宋_GB2312" w:eastAsia="仿宋_GB2312"/>
          <w:spacing w:val="-4"/>
          <w:sz w:val="28"/>
          <w:szCs w:val="28"/>
        </w:rPr>
      </w:pPr>
      <w:r>
        <w:rPr>
          <w:rFonts w:hint="eastAsia" w:ascii="仿宋_GB2312" w:eastAsia="仿宋_GB2312"/>
          <w:spacing w:val="-4"/>
          <w:sz w:val="28"/>
          <w:szCs w:val="28"/>
        </w:rPr>
        <w:t xml:space="preserve">新疆维吾尔自治区福利彩票发行中心    </w:t>
      </w:r>
      <w:r>
        <w:rPr>
          <w:rFonts w:hint="eastAsia" w:ascii="仿宋_GB2312" w:eastAsia="仿宋_GB2312"/>
          <w:spacing w:val="-4"/>
          <w:sz w:val="28"/>
          <w:szCs w:val="28"/>
          <w:lang w:val="en-US" w:eastAsia="zh-CN"/>
        </w:rPr>
        <w:t>2023</w:t>
      </w:r>
      <w:r>
        <w:rPr>
          <w:rFonts w:hint="eastAsia" w:ascii="仿宋_GB2312" w:eastAsia="仿宋_GB2312"/>
          <w:spacing w:val="-4"/>
          <w:sz w:val="28"/>
          <w:szCs w:val="28"/>
        </w:rPr>
        <w:t>年</w:t>
      </w:r>
      <w:r>
        <w:rPr>
          <w:rFonts w:hint="eastAsia" w:ascii="仿宋_GB2312" w:eastAsia="仿宋_GB2312"/>
          <w:spacing w:val="-4"/>
          <w:sz w:val="28"/>
          <w:szCs w:val="28"/>
          <w:lang w:val="en-US" w:eastAsia="zh-CN"/>
        </w:rPr>
        <w:t xml:space="preserve">4 </w:t>
      </w:r>
      <w:r>
        <w:rPr>
          <w:rFonts w:hint="eastAsia" w:ascii="仿宋_GB2312" w:eastAsia="仿宋_GB2312"/>
          <w:spacing w:val="-4"/>
          <w:sz w:val="28"/>
          <w:szCs w:val="28"/>
        </w:rPr>
        <w:t>月</w:t>
      </w:r>
      <w:r>
        <w:rPr>
          <w:rFonts w:hint="eastAsia" w:ascii="仿宋_GB2312" w:eastAsia="仿宋_GB2312"/>
          <w:spacing w:val="-4"/>
          <w:sz w:val="28"/>
          <w:szCs w:val="28"/>
          <w:lang w:val="en-US" w:eastAsia="zh-CN"/>
        </w:rPr>
        <w:t xml:space="preserve">13 </w:t>
      </w:r>
      <w:r>
        <w:rPr>
          <w:rFonts w:hint="eastAsia" w:ascii="仿宋_GB2312" w:eastAsia="仿宋_GB2312"/>
          <w:spacing w:val="-4"/>
          <w:sz w:val="28"/>
          <w:szCs w:val="28"/>
        </w:rPr>
        <w:t>日印发</w:t>
      </w:r>
    </w:p>
    <w:p>
      <w:pPr>
        <w:spacing w:line="400" w:lineRule="exact"/>
        <w:ind w:left="624" w:hanging="624" w:hangingChars="200"/>
        <w:rPr>
          <w:rFonts w:hint="eastAsia" w:ascii="仿宋_GB2312" w:eastAsia="仿宋_GB2312"/>
          <w:sz w:val="32"/>
          <w:szCs w:val="32"/>
          <w:u w:val="single"/>
        </w:rPr>
      </w:pPr>
      <w:r>
        <w:rPr>
          <w:rFonts w:hint="eastAsia" w:ascii="仿宋_GB2312" w:eastAsia="仿宋_GB2312"/>
          <w:spacing w:val="-4"/>
          <w:sz w:val="32"/>
          <w:szCs w:val="32"/>
          <w:u w:val="single"/>
        </w:rPr>
        <w:t xml:space="preserve">  </w:t>
      </w:r>
      <w:r>
        <w:rPr>
          <w:rFonts w:hint="eastAsia" w:ascii="仿宋_GB2312" w:eastAsia="仿宋_GB2312"/>
          <w:sz w:val="32"/>
          <w:szCs w:val="32"/>
          <w:u w:val="single"/>
        </w:rPr>
        <w:t xml:space="preserve">                                                   </w:t>
      </w:r>
    </w:p>
    <w:p>
      <w:pPr>
        <w:rPr>
          <w:rFonts w:hint="eastAsia"/>
        </w:rPr>
      </w:pPr>
    </w:p>
    <w:p>
      <w:pPr>
        <w:pStyle w:val="2"/>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w:t>
      </w:r>
    </w:p>
    <w:tbl>
      <w:tblPr>
        <w:tblStyle w:val="17"/>
        <w:tblW w:w="10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772"/>
        <w:gridCol w:w="1"/>
        <w:gridCol w:w="723"/>
        <w:gridCol w:w="1016"/>
        <w:gridCol w:w="1247"/>
        <w:gridCol w:w="1133"/>
        <w:gridCol w:w="1178"/>
        <w:gridCol w:w="869"/>
        <w:gridCol w:w="169"/>
        <w:gridCol w:w="224"/>
        <w:gridCol w:w="343"/>
        <w:gridCol w:w="405"/>
        <w:gridCol w:w="398"/>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0014" w:type="dxa"/>
            <w:gridSpan w:val="1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014" w:type="dxa"/>
            <w:gridSpan w:val="15"/>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(2022年度)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项目名称</w:t>
            </w:r>
          </w:p>
        </w:tc>
        <w:tc>
          <w:tcPr>
            <w:tcW w:w="85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彩票销售运行保障项目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主管部门</w:t>
            </w:r>
          </w:p>
        </w:tc>
        <w:tc>
          <w:tcPr>
            <w:tcW w:w="4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auto"/>
                <w:kern w:val="0"/>
                <w:sz w:val="17"/>
                <w:szCs w:val="17"/>
                <w:u w:val="none"/>
                <w:lang w:val="en-US" w:eastAsia="zh-CN" w:bidi="ar"/>
              </w:rPr>
              <w:t>自治区民政厅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实施单位</w:t>
            </w:r>
          </w:p>
        </w:tc>
        <w:tc>
          <w:tcPr>
            <w:tcW w:w="3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新疆维吾尔自治区福利彩票发行中心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项目资金</w:t>
            </w:r>
            <w:r>
              <w:rPr>
                <w:rFonts w:hint="eastAsia" w:ascii="宋体" w:hAnsi="宋体" w:eastAsia="宋体" w:cs="宋体"/>
                <w:i w:val="0"/>
                <w:color w:val="000000"/>
                <w:kern w:val="0"/>
                <w:sz w:val="17"/>
                <w:szCs w:val="17"/>
                <w:u w:val="none"/>
                <w:lang w:val="en-US" w:eastAsia="zh-CN" w:bidi="ar"/>
              </w:rPr>
              <w:br w:type="textWrapping"/>
            </w:r>
            <w:r>
              <w:rPr>
                <w:rFonts w:hint="eastAsia" w:ascii="宋体" w:hAnsi="宋体" w:eastAsia="宋体" w:cs="宋体"/>
                <w:i w:val="0"/>
                <w:color w:val="000000"/>
                <w:kern w:val="0"/>
                <w:sz w:val="17"/>
                <w:szCs w:val="17"/>
                <w:u w:val="none"/>
                <w:lang w:val="en-US" w:eastAsia="zh-CN" w:bidi="ar"/>
              </w:rPr>
              <w:t>（万元）</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年初预算数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全年预算数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全年执行数</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分值</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执行率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年度资金总额</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7850.9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7850.9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7453.01</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94.93%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其中：当年财政拨款</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7850.9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7850.9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7453.01</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94.93%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上年结转资金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其他资金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年度总体目标</w:t>
            </w:r>
          </w:p>
        </w:tc>
        <w:tc>
          <w:tcPr>
            <w:tcW w:w="4892"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预期目标</w:t>
            </w:r>
          </w:p>
        </w:tc>
        <w:tc>
          <w:tcPr>
            <w:tcW w:w="4405"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48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按建设和管理全疆福利彩票销售网络，保障福利彩票销售系统的安全稳定运行，确保全疆福利彩票销售业务的正常开展，落实全疆福彩彩票市场营销、宣传、推广，完成2022年全疆福利彩票销售目标任务和公益金筹集任务。</w:t>
            </w:r>
          </w:p>
        </w:tc>
        <w:tc>
          <w:tcPr>
            <w:tcW w:w="44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按照《彩票管理条例》和《彩票机构财务管理办法的规定》2022年福利彩票销售系统安全稳定运行，全疆彩票销售业务正常开展，落实全疆福彩彩票市场营销、宣传、推广，全年销售福利彩票59.32亿元，增幅13.26%，筹集公益金16.63亿元，排名全国第7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一级指标</w:t>
            </w:r>
          </w:p>
        </w:tc>
        <w:tc>
          <w:tcPr>
            <w:tcW w:w="72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二级指标</w:t>
            </w:r>
          </w:p>
        </w:tc>
        <w:tc>
          <w:tcPr>
            <w:tcW w:w="226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三级指标</w:t>
            </w:r>
          </w:p>
        </w:tc>
        <w:tc>
          <w:tcPr>
            <w:tcW w:w="11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年度指标值</w:t>
            </w:r>
          </w:p>
        </w:tc>
        <w:tc>
          <w:tcPr>
            <w:tcW w:w="117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实际完成值</w:t>
            </w:r>
          </w:p>
        </w:tc>
        <w:tc>
          <w:tcPr>
            <w:tcW w:w="1038"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分值</w:t>
            </w:r>
          </w:p>
        </w:tc>
        <w:tc>
          <w:tcPr>
            <w:tcW w:w="9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得分</w:t>
            </w:r>
          </w:p>
        </w:tc>
        <w:tc>
          <w:tcPr>
            <w:tcW w:w="1217"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年度绩效指标完成情况</w:t>
            </w:r>
          </w:p>
        </w:tc>
        <w:tc>
          <w:tcPr>
            <w:tcW w:w="7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产出指标</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数量指标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支持彩票销售网点数量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3388个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6</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帮扶新增投注站站点数量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≥50个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145个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2022年初对年度预测趋于  保守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全年回馈彩民活动次数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3次</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彩票销售系统运维维护次数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≥12次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12次</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质量指标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全疆彩票投注站安全运行率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全疆彩票销售系统安全运行  保障率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时效指标</w:t>
            </w:r>
          </w:p>
        </w:tc>
        <w:tc>
          <w:tcPr>
            <w:tcW w:w="2263"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彩票销售系统维护响应时间</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≤24小时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24小时</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全疆即开型彩票装卸及物流服务送达时限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≤7天</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7天</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回馈彩民活动完成及时率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成本指标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彩票销售渠道建设、管理及维护费用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≤443.32万元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429.63万元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3.88 </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7"/>
                <w:szCs w:val="17"/>
                <w:u w:val="none"/>
              </w:rPr>
            </w:pPr>
            <w:r>
              <w:rPr>
                <w:rFonts w:hint="eastAsia" w:ascii="宋体" w:hAnsi="宋体" w:eastAsia="宋体" w:cs="宋体"/>
                <w:color w:val="000000"/>
                <w:kern w:val="0"/>
                <w:sz w:val="17"/>
                <w:szCs w:val="17"/>
                <w:u w:val="none"/>
                <w:lang w:bidi="ar"/>
              </w:rPr>
              <w:t>因项目合同签订金额小于预算金额，导致此款项未按预算计划支付，产生结余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彩票销售技术系统建设、运营及维护费用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≤1349.75万元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1127.69万元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3.34 </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7"/>
                <w:szCs w:val="17"/>
                <w:u w:val="none"/>
              </w:rPr>
            </w:pPr>
            <w:r>
              <w:rPr>
                <w:rFonts w:hint="eastAsia" w:ascii="宋体" w:hAnsi="宋体" w:eastAsia="宋体" w:cs="宋体"/>
                <w:color w:val="000000"/>
                <w:kern w:val="0"/>
                <w:sz w:val="17"/>
                <w:szCs w:val="17"/>
                <w:u w:val="none"/>
                <w:lang w:bidi="ar"/>
              </w:rPr>
              <w:t>因疫情影响，采购时间延期，剩余预算结转至2023年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彩票市场开发、管理及推广费用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≤6057.83万元</w:t>
            </w:r>
          </w:p>
        </w:tc>
        <w:tc>
          <w:tcPr>
            <w:tcW w:w="11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5895.7万元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4</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3.89 </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7"/>
                <w:szCs w:val="17"/>
                <w:u w:val="none"/>
              </w:rPr>
            </w:pPr>
            <w:r>
              <w:rPr>
                <w:rFonts w:hint="eastAsia" w:ascii="宋体" w:hAnsi="宋体" w:eastAsia="宋体" w:cs="宋体"/>
                <w:color w:val="000000"/>
                <w:kern w:val="0"/>
                <w:sz w:val="17"/>
                <w:szCs w:val="17"/>
                <w:u w:val="none"/>
                <w:lang w:bidi="ar"/>
              </w:rPr>
              <w:t>因疫情影响，一是项目未开展形成的结余；二是采购时间延期，部分预算结转至2023年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效益指标</w:t>
            </w:r>
          </w:p>
        </w:tc>
        <w:tc>
          <w:tcPr>
            <w:tcW w:w="72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经济效益指标</w:t>
            </w:r>
          </w:p>
        </w:tc>
        <w:tc>
          <w:tcPr>
            <w:tcW w:w="226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全年完成福利彩票销售额</w:t>
            </w:r>
          </w:p>
        </w:tc>
        <w:tc>
          <w:tcPr>
            <w:tcW w:w="11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≥上年度销售额80%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113.25%</w:t>
            </w:r>
          </w:p>
        </w:tc>
        <w:tc>
          <w:tcPr>
            <w:tcW w:w="8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15</w:t>
            </w:r>
          </w:p>
        </w:tc>
        <w:tc>
          <w:tcPr>
            <w:tcW w:w="73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15</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市场培育速率难以预测，导致2022年初对年度福利彩票销售规模的预测趋于保守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社会效益指标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全年筹集福利彩票公益金金额</w:t>
            </w:r>
          </w:p>
        </w:tc>
        <w:tc>
          <w:tcPr>
            <w:tcW w:w="11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≥上年度销售额80%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112.59%</w:t>
            </w:r>
          </w:p>
        </w:tc>
        <w:tc>
          <w:tcPr>
            <w:tcW w:w="8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15</w:t>
            </w:r>
          </w:p>
        </w:tc>
        <w:tc>
          <w:tcPr>
            <w:tcW w:w="73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15</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根据2022年彩票销售额计提缴纳公益金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满意度指标</w:t>
            </w:r>
          </w:p>
        </w:tc>
        <w:tc>
          <w:tcPr>
            <w:tcW w:w="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满意度指标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彩民满意度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&gt;=90%</w:t>
            </w:r>
          </w:p>
        </w:tc>
        <w:tc>
          <w:tcPr>
            <w:tcW w:w="117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97.83%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销售网点满意度</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&gt;=90%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96.41%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5</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6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总分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100</w:t>
            </w:r>
          </w:p>
        </w:tc>
        <w:tc>
          <w:tcPr>
            <w:tcW w:w="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98.60 </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r>
    </w:tbl>
    <w:p>
      <w:pPr>
        <w:spacing w:line="540" w:lineRule="exact"/>
        <w:rPr>
          <w:rFonts w:hint="eastAsia" w:ascii="仿宋" w:hAnsi="仿宋" w:eastAsia="仿宋" w:cs="仿宋"/>
          <w:sz w:val="32"/>
          <w:szCs w:val="32"/>
        </w:rPr>
        <w:sectPr>
          <w:pgSz w:w="11906" w:h="16838"/>
          <w:pgMar w:top="1928" w:right="1531" w:bottom="1701" w:left="1531" w:header="737" w:footer="851" w:gutter="0"/>
          <w:pgNumType w:fmt="numberInDash"/>
          <w:cols w:space="720" w:num="1"/>
          <w:docGrid w:type="lines" w:linePitch="408" w:charSpace="0"/>
        </w:sectPr>
      </w:pPr>
    </w:p>
    <w:p>
      <w:pPr>
        <w:pStyle w:val="3"/>
        <w:spacing w:before="0" w:after="0" w:line="240" w:lineRule="auto"/>
        <w:jc w:val="center"/>
        <w:rPr>
          <w:rFonts w:ascii="宋体" w:hAnsi="宋体" w:eastAsia="宋体" w:cs="宋体"/>
          <w:bCs/>
          <w:color w:val="000000"/>
          <w:sz w:val="36"/>
          <w:szCs w:val="28"/>
        </w:rPr>
      </w:pPr>
      <w:r>
        <w:rPr>
          <w:rFonts w:hint="eastAsia" w:ascii="宋体" w:hAnsi="宋体" w:eastAsia="宋体" w:cs="宋体"/>
          <w:bCs/>
          <w:color w:val="000000"/>
          <w:sz w:val="36"/>
          <w:szCs w:val="28"/>
        </w:rPr>
        <w:t>项目支出绩效评价指标体系框架</w:t>
      </w:r>
    </w:p>
    <w:p>
      <w:pPr>
        <w:pStyle w:val="3"/>
        <w:spacing w:before="0" w:after="0" w:line="240" w:lineRule="auto"/>
        <w:jc w:val="center"/>
        <w:rPr>
          <w:bCs/>
          <w:color w:val="000000"/>
        </w:rPr>
      </w:pPr>
    </w:p>
    <w:tbl>
      <w:tblPr>
        <w:tblStyle w:val="17"/>
        <w:tblW w:w="132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9"/>
        <w:gridCol w:w="704"/>
        <w:gridCol w:w="1001"/>
        <w:gridCol w:w="2506"/>
        <w:gridCol w:w="5787"/>
        <w:gridCol w:w="1227"/>
        <w:gridCol w:w="11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19" w:hRule="atLeast"/>
          <w:tblHeader/>
          <w:jc w:val="center"/>
        </w:trPr>
        <w:tc>
          <w:tcPr>
            <w:tcW w:w="789"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704"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w:t>
            </w:r>
          </w:p>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w:t>
            </w:r>
          </w:p>
        </w:tc>
        <w:tc>
          <w:tcPr>
            <w:tcW w:w="2506"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5787"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c>
          <w:tcPr>
            <w:tcW w:w="1199" w:type="dxa"/>
            <w:tcBorders>
              <w:tl2br w:val="nil"/>
              <w:tr2bl w:val="nil"/>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789"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决策　</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cs="宋体"/>
                <w:color w:val="000000"/>
                <w:kern w:val="0"/>
                <w:sz w:val="22"/>
              </w:rPr>
              <w:t>20</w:t>
            </w:r>
            <w:r>
              <w:rPr>
                <w:rFonts w:hint="eastAsia" w:ascii="宋体" w:hAnsi="宋体" w:eastAsia="宋体" w:cs="宋体"/>
                <w:color w:val="000000"/>
                <w:kern w:val="0"/>
                <w:sz w:val="22"/>
              </w:rPr>
              <w:t>分）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项目立项（</w:t>
            </w:r>
            <w:r>
              <w:rPr>
                <w:rFonts w:hint="eastAsia" w:ascii="宋体" w:hAnsi="宋体" w:cs="宋体"/>
                <w:color w:val="000000"/>
                <w:kern w:val="0"/>
                <w:sz w:val="22"/>
              </w:rPr>
              <w:t>6</w:t>
            </w:r>
            <w:r>
              <w:rPr>
                <w:rFonts w:hint="eastAsia" w:ascii="宋体" w:hAnsi="宋体" w:eastAsia="宋体" w:cs="宋体"/>
                <w:color w:val="000000"/>
                <w:kern w:val="0"/>
                <w:sz w:val="22"/>
              </w:rPr>
              <w:t>分）　</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立项依据</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充分性</w:t>
            </w:r>
            <w:r>
              <w:rPr>
                <w:rFonts w:hint="eastAsia" w:ascii="宋体" w:hAnsi="宋体" w:cs="宋体"/>
                <w:color w:val="000000"/>
                <w:kern w:val="0"/>
                <w:sz w:val="22"/>
              </w:rPr>
              <w:t>（3分）</w:t>
            </w:r>
          </w:p>
        </w:tc>
        <w:tc>
          <w:tcPr>
            <w:tcW w:w="2506"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项目立项是否符合法律法规、相关政策、发展规划以及部门职责，用以反映和考核项目立项依据情况。</w:t>
            </w:r>
          </w:p>
        </w:tc>
        <w:tc>
          <w:tcPr>
            <w:tcW w:w="5787" w:type="dxa"/>
            <w:tcBorders>
              <w:tl2br w:val="nil"/>
              <w:tr2bl w:val="nil"/>
            </w:tcBorders>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①项目立项是否符合国家法律法规、国民经济发展规划和相关政策；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②项目立项是否符合行业发展规划和政策要求；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③项目立项是否与部门职责范围相符，属于部门履职所需；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④项目是否属于公共财政支持范围，是否符合中央、地方事权支出责任划分原则；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⑤项目是否与相关部门同类项目或部门内部相关项目重复。</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99"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0"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立项程序</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规范性</w:t>
            </w:r>
            <w:r>
              <w:rPr>
                <w:rFonts w:hint="eastAsia" w:ascii="宋体" w:hAnsi="宋体" w:cs="宋体"/>
                <w:color w:val="000000"/>
                <w:kern w:val="0"/>
                <w:sz w:val="22"/>
              </w:rPr>
              <w:t>（3分）</w:t>
            </w:r>
          </w:p>
        </w:tc>
        <w:tc>
          <w:tcPr>
            <w:tcW w:w="2506"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项目申请、设立过程是否符合相关要求，用以反映和考核项目立项的规范情况。</w:t>
            </w:r>
          </w:p>
        </w:tc>
        <w:tc>
          <w:tcPr>
            <w:tcW w:w="5787" w:type="dxa"/>
            <w:tcBorders>
              <w:tl2br w:val="nil"/>
              <w:tr2bl w:val="nil"/>
            </w:tcBorders>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①项目是否按照规定的程序申请设立；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②审批文件、材料是否符合相关要求；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③事前是否已经过必要的可行性研究、专家论证、风险评估、绩效评估、集体决策。</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1199" w:type="dxa"/>
            <w:tcBorders>
              <w:tl2br w:val="nil"/>
              <w:tr2bl w:val="nil"/>
            </w:tcBorders>
            <w:shd w:val="clear" w:color="auto" w:fill="FFFFFF"/>
            <w:vAlign w:val="center"/>
          </w:tcPr>
          <w:p>
            <w:pPr>
              <w:widowControl/>
              <w:spacing w:line="0" w:lineRule="atLeast"/>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83"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　</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cs="宋体"/>
                <w:color w:val="000000"/>
                <w:kern w:val="0"/>
                <w:sz w:val="22"/>
              </w:rPr>
              <w:t>6</w:t>
            </w:r>
            <w:r>
              <w:rPr>
                <w:rFonts w:hint="eastAsia" w:ascii="宋体" w:hAnsi="宋体" w:eastAsia="宋体" w:cs="宋体"/>
                <w:color w:val="000000"/>
                <w:kern w:val="0"/>
                <w:sz w:val="22"/>
              </w:rPr>
              <w:t>分）</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r>
              <w:rPr>
                <w:rFonts w:hint="eastAsia" w:ascii="宋体" w:hAnsi="宋体" w:cs="宋体"/>
                <w:color w:val="000000"/>
                <w:kern w:val="0"/>
                <w:sz w:val="22"/>
              </w:rPr>
              <w:t>（3分）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项目所设定的绩效目标是否依据充分，是否符合客观实际，用以反映和考核项目绩效目标与项目实施的相符情况。</w:t>
            </w:r>
          </w:p>
        </w:tc>
        <w:tc>
          <w:tcPr>
            <w:tcW w:w="5787" w:type="dxa"/>
            <w:tcBorders>
              <w:tl2br w:val="nil"/>
              <w:tr2bl w:val="nil"/>
            </w:tcBorders>
            <w:shd w:val="clear" w:color="000000"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（如未设定预算绩效目标，也可考核其他工作任务目标）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①项目是否有绩效目标；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②项目绩效目标与实际工作内容是否具有相关性；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③项目预期产出效益和效果是否符合正常的业绩水平；</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④是否与预算确定的项目投资额或资金量相匹配。</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99" w:type="dxa"/>
            <w:tcBorders>
              <w:tl2br w:val="nil"/>
              <w:tr2bl w:val="nil"/>
            </w:tcBorders>
            <w:shd w:val="clear" w:color="000000" w:fill="FFFFFF"/>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绩效指标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明确性</w:t>
            </w:r>
            <w:r>
              <w:rPr>
                <w:rFonts w:hint="eastAsia" w:ascii="宋体" w:hAnsi="宋体" w:cs="宋体"/>
                <w:color w:val="000000"/>
                <w:kern w:val="0"/>
                <w:sz w:val="22"/>
              </w:rPr>
              <w:t>（3分）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依据绩效目标设定的绩效指标是否清晰、细化、可衡量等，用以反映和考核项目绩效目标的明细化情况。</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①是否将项目绩效目标细化分解为具体的绩效指标；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②是否通过清晰、可衡量的指标值予以体现；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③是否与项目目标任务数或计划数相对应。</w:t>
            </w:r>
            <w:r>
              <w:rPr>
                <w:rFonts w:hint="eastAsia" w:ascii="宋体" w:hAnsi="宋体" w:eastAsia="宋体" w:cs="宋体"/>
                <w:color w:val="000000"/>
                <w:kern w:val="0"/>
                <w:sz w:val="22"/>
              </w:rPr>
              <w:br w:type="textWrapping"/>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99" w:type="dxa"/>
            <w:tcBorders>
              <w:tl2br w:val="nil"/>
              <w:tr2bl w:val="nil"/>
            </w:tcBorders>
            <w:shd w:val="clear" w:color="000000" w:fill="FFFFFF"/>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资金投入</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cs="宋体"/>
                <w:color w:val="000000"/>
                <w:kern w:val="0"/>
                <w:sz w:val="22"/>
              </w:rPr>
              <w:t>8</w:t>
            </w:r>
            <w:r>
              <w:rPr>
                <w:rFonts w:hint="eastAsia" w:ascii="宋体" w:hAnsi="宋体" w:eastAsia="宋体" w:cs="宋体"/>
                <w:color w:val="000000"/>
                <w:kern w:val="0"/>
                <w:sz w:val="22"/>
              </w:rPr>
              <w:t>分）　</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预算编制</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科学性</w:t>
            </w:r>
            <w:r>
              <w:rPr>
                <w:rFonts w:hint="eastAsia" w:ascii="宋体" w:hAnsi="宋体" w:cs="宋体"/>
                <w:color w:val="000000"/>
                <w:kern w:val="0"/>
                <w:sz w:val="22"/>
              </w:rPr>
              <w:t>（4分）</w:t>
            </w:r>
          </w:p>
        </w:tc>
        <w:tc>
          <w:tcPr>
            <w:tcW w:w="2506"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项目预算编制是否经过科学论证、有明确标准，资金额度与年度目标是否相适应，用以反映和考核项目预算编制的科学性、合理性情况。</w:t>
            </w:r>
          </w:p>
        </w:tc>
        <w:tc>
          <w:tcPr>
            <w:tcW w:w="5787"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①预算编制是否经过科学论证；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②预算内容与项目内容是否匹配；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③预算额度测算依据是否充分，是否按照标准编制；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④预算确定的项目投资额或资金量是否与工作任务相匹配。</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99" w:type="dxa"/>
            <w:tcBorders>
              <w:tl2br w:val="nil"/>
              <w:tr2bl w:val="nil"/>
            </w:tcBorders>
            <w:shd w:val="clear" w:color="auto" w:fill="FFFFFF"/>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资金分配</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r>
              <w:rPr>
                <w:rFonts w:hint="eastAsia" w:ascii="宋体" w:hAnsi="宋体" w:cs="宋体"/>
                <w:color w:val="000000"/>
                <w:kern w:val="0"/>
                <w:sz w:val="22"/>
              </w:rPr>
              <w:t>（4分）</w:t>
            </w:r>
          </w:p>
        </w:tc>
        <w:tc>
          <w:tcPr>
            <w:tcW w:w="2506"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项目预算资金分配是否有测算依据，与补助单位或地方实际是否相适应，用以反映和考核项目预算资金分配的科学性、合理性情况。</w:t>
            </w:r>
          </w:p>
        </w:tc>
        <w:tc>
          <w:tcPr>
            <w:tcW w:w="5787"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①预算资金分配依据是否充分；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②资金分配额度是否合理，与项目单位或地方实际是否相适应。</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99" w:type="dxa"/>
            <w:tcBorders>
              <w:tl2br w:val="nil"/>
              <w:tr2bl w:val="nil"/>
            </w:tcBorders>
            <w:shd w:val="clear" w:color="auto" w:fill="FFFFFF"/>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789" w:type="dxa"/>
            <w:vMerge w:val="restart"/>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过程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hint="eastAsia" w:ascii="宋体" w:hAnsi="宋体" w:cs="宋体"/>
                <w:color w:val="000000"/>
                <w:kern w:val="0"/>
                <w:sz w:val="22"/>
              </w:rPr>
              <w:t>0</w:t>
            </w:r>
            <w:r>
              <w:rPr>
                <w:rFonts w:hint="eastAsia" w:ascii="宋体" w:hAnsi="宋体" w:eastAsia="宋体" w:cs="宋体"/>
                <w:color w:val="000000"/>
                <w:kern w:val="0"/>
                <w:sz w:val="22"/>
              </w:rPr>
              <w:t>分）　</w:t>
            </w: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资金到位率</w:t>
            </w:r>
            <w:r>
              <w:rPr>
                <w:rFonts w:hint="eastAsia" w:ascii="宋体" w:hAnsi="宋体" w:cs="宋体"/>
                <w:color w:val="000000"/>
                <w:kern w:val="0"/>
                <w:sz w:val="22"/>
              </w:rPr>
              <w:t>（2分）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实际到位资金与预算资金的比率，用以反映和考核资金落实情况对项目实施的总体保障程度。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资金到位率=（实际到位资金/预算资金）×100%。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实际到位资金：一定时期（本年度或项目期）内落实到具体项目的资金。</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预算资金：一定时期（本年度或项目期）内预算安排到具体项目的资金。</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3"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r>
              <w:rPr>
                <w:rFonts w:hint="eastAsia" w:ascii="宋体" w:hAnsi="宋体" w:cs="宋体"/>
                <w:color w:val="000000"/>
                <w:kern w:val="0"/>
                <w:sz w:val="22"/>
              </w:rPr>
              <w:t>（5分）</w:t>
            </w:r>
          </w:p>
        </w:tc>
        <w:tc>
          <w:tcPr>
            <w:tcW w:w="2506"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项目预算资金是否按照计划执行，用以反映或考核项目预算执行情况。</w:t>
            </w:r>
          </w:p>
        </w:tc>
        <w:tc>
          <w:tcPr>
            <w:tcW w:w="5787"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预算执行率=（实际支出资金/实际到位资金）×100%。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实际支出资金：一定时期（本年度或项目期）内项目实际拨付的资金。</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99"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11"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资金使用</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合规性</w:t>
            </w:r>
            <w:r>
              <w:rPr>
                <w:rFonts w:hint="eastAsia" w:ascii="宋体" w:hAnsi="宋体" w:cs="宋体"/>
                <w:color w:val="000000"/>
                <w:kern w:val="0"/>
                <w:sz w:val="22"/>
              </w:rPr>
              <w:t>（3分）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项目资金使用是否符合相关的财务管理制度规定，用以反映和考核项目资金的规范运行情况。</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①是否符合国家财经法规和财务管理制度以及有关专项资金管理办法的规定；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②资金的拨付是否有完整的审批程序和手续；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③是否符合项目预算批复或合同规定的用途；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④是否存在截留、挤占、挪用、虚列支出等情况。</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7"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组织实施</w:t>
            </w:r>
          </w:p>
          <w:p>
            <w:pPr>
              <w:spacing w:line="0" w:lineRule="atLeast"/>
              <w:jc w:val="center"/>
              <w:rPr>
                <w:rFonts w:ascii="宋体" w:hAnsi="宋体" w:eastAsia="宋体" w:cs="宋体"/>
                <w:color w:val="000000"/>
                <w:kern w:val="0"/>
                <w:sz w:val="22"/>
              </w:rPr>
            </w:pPr>
            <w:r>
              <w:rPr>
                <w:rFonts w:hint="eastAsia" w:ascii="宋体" w:hAnsi="宋体" w:cs="宋体"/>
                <w:color w:val="000000"/>
                <w:kern w:val="0"/>
                <w:sz w:val="22"/>
              </w:rPr>
              <w:t>（10分）</w:t>
            </w:r>
            <w:r>
              <w:rPr>
                <w:rFonts w:hint="eastAsia" w:ascii="宋体" w:hAnsi="宋体" w:eastAsia="宋体" w:cs="宋体"/>
                <w:color w:val="000000"/>
                <w:kern w:val="0"/>
                <w:sz w:val="22"/>
              </w:rPr>
              <w:t>　</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管理制度</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健全性</w:t>
            </w:r>
            <w:r>
              <w:rPr>
                <w:rFonts w:hint="eastAsia" w:ascii="宋体" w:hAnsi="宋体" w:cs="宋体"/>
                <w:color w:val="000000"/>
                <w:kern w:val="0"/>
                <w:sz w:val="22"/>
              </w:rPr>
              <w:t>（5分）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项目实施单位的财务和业务管理制度是否健全，用以反映和考核财务和业务管理制度对项目顺利实施的保障情况。</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①是否已制定或具有相应的财务和业务管理制度；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②财务和业务管理制度是否合法、合规、完整。</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1199" w:type="dxa"/>
            <w:tcBorders>
              <w:tl2br w:val="nil"/>
              <w:tr2bl w:val="nil"/>
            </w:tcBorders>
            <w:shd w:val="clear" w:color="000000" w:fill="FFFFFF"/>
            <w:vAlign w:val="center"/>
          </w:tcPr>
          <w:p>
            <w:pPr>
              <w:widowControl/>
              <w:spacing w:line="0" w:lineRule="atLeast"/>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制度执行</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有效性</w:t>
            </w:r>
            <w:r>
              <w:rPr>
                <w:rFonts w:hint="eastAsia" w:ascii="宋体" w:hAnsi="宋体" w:cs="宋体"/>
                <w:color w:val="000000"/>
                <w:kern w:val="0"/>
                <w:sz w:val="22"/>
              </w:rPr>
              <w:t>（5分）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项目实施是否符合相关管理规定，用以反映和考核相关管理制度的有效执行情况。</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①是否遵守相关法律法规和相关管理规定；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②项目调整及支出调整手续是否完备；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③项目合同书、验收报告、技术鉴定等资料是否齐全并及时归档；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④项目实施的人员条件、场地设备、信息支撑等是否落实到位。</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1199" w:type="dxa"/>
            <w:tcBorders>
              <w:tl2br w:val="nil"/>
              <w:tr2bl w:val="nil"/>
            </w:tcBorders>
            <w:shd w:val="clear" w:color="000000" w:fill="FFFFFF"/>
            <w:vAlign w:val="center"/>
          </w:tcPr>
          <w:p>
            <w:pPr>
              <w:widowControl/>
              <w:spacing w:line="0" w:lineRule="atLeast"/>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3" w:hRule="atLeast"/>
          <w:jc w:val="center"/>
        </w:trPr>
        <w:tc>
          <w:tcPr>
            <w:tcW w:w="789"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cs="宋体"/>
                <w:color w:val="000000"/>
                <w:kern w:val="0"/>
                <w:sz w:val="22"/>
              </w:rPr>
              <w:t>30</w:t>
            </w:r>
            <w:r>
              <w:rPr>
                <w:rFonts w:hint="eastAsia" w:ascii="宋体" w:hAnsi="宋体" w:eastAsia="宋体" w:cs="宋体"/>
                <w:color w:val="000000"/>
                <w:kern w:val="0"/>
                <w:sz w:val="22"/>
              </w:rPr>
              <w:t>分）</w:t>
            </w:r>
          </w:p>
        </w:tc>
        <w:tc>
          <w:tcPr>
            <w:tcW w:w="704"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产出数量</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实际完成率</w:t>
            </w:r>
            <w:r>
              <w:rPr>
                <w:rFonts w:hint="eastAsia" w:ascii="宋体" w:hAnsi="宋体" w:cs="宋体"/>
                <w:color w:val="000000"/>
                <w:kern w:val="0"/>
                <w:sz w:val="22"/>
              </w:rPr>
              <w:t>（8分）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项目实施的实际产出数与计划产出数的比率，用以反映和考核项目产出数量目标的实现程度。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实际完成率=（实际产出数/计划产出数）×100%。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实际产出数：一定时期（本年度或项目期）内项目实际产出的产品或提供的服务数量。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计划产出数：项目绩效目标确定的在一定时期（本年度或项目期）内计划产出的产品或提供的服务数量。</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产出质量</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质量达标率</w:t>
            </w:r>
            <w:r>
              <w:rPr>
                <w:rFonts w:hint="eastAsia" w:ascii="宋体" w:hAnsi="宋体" w:cs="宋体"/>
                <w:color w:val="000000"/>
                <w:kern w:val="0"/>
                <w:sz w:val="22"/>
              </w:rPr>
              <w:t>（8分）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项目完成的质量达标产出数与实际产出数的比率，用以反映和考核项目产出质量目标的实现程度。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质量达标率=（质量达标产出数/实际产出数）×100%。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6" w:hRule="atLeast"/>
          <w:jc w:val="center"/>
        </w:trPr>
        <w:tc>
          <w:tcPr>
            <w:tcW w:w="789" w:type="dxa"/>
            <w:vMerge w:val="continue"/>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p>
        </w:tc>
        <w:tc>
          <w:tcPr>
            <w:tcW w:w="704" w:type="dxa"/>
            <w:tcBorders>
              <w:tl2br w:val="nil"/>
              <w:tr2bl w:val="nil"/>
            </w:tcBorders>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产出时效</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完成及时性</w:t>
            </w:r>
            <w:r>
              <w:rPr>
                <w:rFonts w:hint="eastAsia" w:ascii="宋体" w:hAnsi="宋体" w:cs="宋体"/>
                <w:color w:val="000000"/>
                <w:kern w:val="0"/>
                <w:sz w:val="22"/>
              </w:rPr>
              <w:t>（7分）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实际完成时间：项目实施单位完成该项目实际所耗用的时间。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计划完成时间：按照项目实施计划或相关规定完成该项目所需的时间。</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199" w:type="dxa"/>
            <w:tcBorders>
              <w:tl2br w:val="nil"/>
              <w:tr2bl w:val="nil"/>
            </w:tcBorders>
            <w:shd w:val="clear" w:color="000000" w:fill="FFFFFF"/>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843"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产出成本</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成本节约率</w:t>
            </w:r>
            <w:r>
              <w:rPr>
                <w:rFonts w:hint="eastAsia" w:ascii="宋体" w:hAnsi="宋体" w:cs="宋体"/>
                <w:color w:val="000000"/>
                <w:kern w:val="0"/>
                <w:sz w:val="22"/>
              </w:rPr>
              <w:t>（7分）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完成项目计划工作目标的实际节约成本与计划成本的比率，用以反映和考核项目的成本节约程度。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成本节约率=[（计划成本-实际成本）/计划成本]×100%。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实际成本：项目实施单位如期、保质、保量完成既定工作目标实际所耗费的支出。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计划成本：项目实施单位为完成工作目标计划安排的支出，一般以项目预算为参考。</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27" w:hRule="atLeast"/>
          <w:jc w:val="center"/>
        </w:trPr>
        <w:tc>
          <w:tcPr>
            <w:tcW w:w="789"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效益（3</w:t>
            </w:r>
            <w:r>
              <w:rPr>
                <w:rFonts w:hint="eastAsia" w:ascii="宋体" w:hAnsi="宋体" w:cs="宋体"/>
                <w:color w:val="000000"/>
                <w:kern w:val="0"/>
                <w:sz w:val="22"/>
              </w:rPr>
              <w:t>0</w:t>
            </w:r>
            <w:r>
              <w:rPr>
                <w:rFonts w:hint="eastAsia" w:ascii="宋体" w:hAnsi="宋体" w:eastAsia="宋体" w:cs="宋体"/>
                <w:color w:val="000000"/>
                <w:kern w:val="0"/>
                <w:sz w:val="22"/>
              </w:rPr>
              <w:t>分）　</w:t>
            </w:r>
          </w:p>
        </w:tc>
        <w:tc>
          <w:tcPr>
            <w:tcW w:w="704" w:type="dxa"/>
            <w:vMerge w:val="restart"/>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项目效益　</w:t>
            </w: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实施效益</w:t>
            </w:r>
            <w:r>
              <w:rPr>
                <w:rFonts w:hint="eastAsia" w:ascii="宋体" w:hAnsi="宋体" w:cs="宋体"/>
                <w:color w:val="000000"/>
                <w:kern w:val="0"/>
                <w:sz w:val="22"/>
              </w:rPr>
              <w:t>（15分）</w:t>
            </w:r>
          </w:p>
        </w:tc>
        <w:tc>
          <w:tcPr>
            <w:tcW w:w="2506" w:type="dxa"/>
            <w:tcBorders>
              <w:tl2br w:val="nil"/>
              <w:tr2bl w:val="nil"/>
            </w:tcBorders>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项目实施所产生的效益。</w:t>
            </w:r>
          </w:p>
        </w:tc>
        <w:tc>
          <w:tcPr>
            <w:tcW w:w="5787" w:type="dxa"/>
            <w:tcBorders>
              <w:tl2br w:val="nil"/>
              <w:tr2bl w:val="nil"/>
            </w:tcBorders>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项目实施所产生的社会效益、经济效益、生态效益、可持续影响等。可根据项目实际情况有选择地设置和细化。</w:t>
            </w:r>
          </w:p>
        </w:tc>
        <w:tc>
          <w:tcPr>
            <w:tcW w:w="1227"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99"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61" w:hRule="atLeast"/>
          <w:jc w:val="center"/>
        </w:trPr>
        <w:tc>
          <w:tcPr>
            <w:tcW w:w="789"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704" w:type="dxa"/>
            <w:vMerge w:val="continue"/>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p>
        </w:tc>
        <w:tc>
          <w:tcPr>
            <w:tcW w:w="1001" w:type="dxa"/>
            <w:tcBorders>
              <w:tl2br w:val="nil"/>
              <w:tr2bl w:val="nil"/>
            </w:tcBorders>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满意度</w:t>
            </w:r>
            <w:r>
              <w:rPr>
                <w:rFonts w:hint="eastAsia" w:ascii="宋体" w:hAnsi="宋体" w:cs="宋体"/>
                <w:color w:val="000000"/>
                <w:kern w:val="0"/>
                <w:sz w:val="22"/>
              </w:rPr>
              <w:t>（15分）</w:t>
            </w:r>
          </w:p>
        </w:tc>
        <w:tc>
          <w:tcPr>
            <w:tcW w:w="2506"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社会公众或服务对象对项目实施效果的满意程度。</w:t>
            </w:r>
          </w:p>
        </w:tc>
        <w:tc>
          <w:tcPr>
            <w:tcW w:w="5787" w:type="dxa"/>
            <w:tcBorders>
              <w:tl2br w:val="nil"/>
              <w:tr2bl w:val="nil"/>
            </w:tcBorders>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社会公众或服务对象是指因该项目实施而受到影响的部门（单位）、群体或个人。一般采取社会调查的方式。</w:t>
            </w:r>
          </w:p>
        </w:tc>
        <w:tc>
          <w:tcPr>
            <w:tcW w:w="1227"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99" w:type="dxa"/>
            <w:tcBorders>
              <w:tl2br w:val="nil"/>
              <w:tr2bl w:val="nil"/>
            </w:tcBorders>
            <w:shd w:val="clear" w:color="000000" w:fill="FFFFFF"/>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rPr>
              <w:t>15</w:t>
            </w:r>
          </w:p>
        </w:tc>
      </w:tr>
    </w:tbl>
    <w:p>
      <w:pPr>
        <w:rPr>
          <w:rFonts w:ascii="黑体" w:hAnsi="黑体" w:eastAsia="黑体"/>
        </w:rPr>
      </w:pPr>
    </w:p>
    <w:bookmarkEnd w:id="0"/>
    <w:p>
      <w:pPr>
        <w:spacing w:line="540" w:lineRule="exact"/>
        <w:rPr>
          <w:rFonts w:ascii="仿宋" w:hAnsi="仿宋" w:eastAsia="仿宋" w:cs="仿宋"/>
          <w:sz w:val="32"/>
          <w:szCs w:val="32"/>
        </w:rPr>
      </w:pPr>
      <w:r>
        <w:rPr>
          <w:rFonts w:hint="eastAsia"/>
        </w:rPr>
        <w:pict>
          <v:line id="Line 11" o:spid="_x0000_s1026" o:spt="20" style="position:absolute;left:0pt;margin-left:82.65pt;margin-top:694.3pt;height:0pt;width:439.35pt;mso-position-horizontal-relative:page;mso-position-vertical-relative:margin;z-index:251658240;mso-width-relative:page;mso-height-relative:page;" filled="f" coordsize="21600,21600" o:allowoverlap="f">
            <v:path arrowok="t"/>
            <v:fill on="f" focussize="0,0"/>
            <v:stroke weight="2.25pt" color="#FF0000"/>
            <v:imagedata o:title=""/>
            <o:lock v:ext="edit" grouping="f" rotation="f" text="f" aspectratio="f"/>
            <w10:anchorlock/>
          </v:line>
        </w:pict>
      </w:r>
    </w:p>
    <w:sectPr>
      <w:pgSz w:w="16838" w:h="11906" w:orient="landscape"/>
      <w:pgMar w:top="1531" w:right="1928" w:bottom="1531" w:left="1701" w:header="737" w:footer="851"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9325227">
    <w:nsid w:val="624EB4AB"/>
    <w:multiLevelType w:val="singleLevel"/>
    <w:tmpl w:val="624EB4AB"/>
    <w:lvl w:ilvl="0" w:tentative="1">
      <w:start w:val="3"/>
      <w:numFmt w:val="chineseCounting"/>
      <w:suff w:val="nothing"/>
      <w:lvlText w:val="%1、"/>
      <w:lvlJc w:val="left"/>
    </w:lvl>
  </w:abstractNum>
  <w:abstractNum w:abstractNumId="1649659210">
    <w:nsid w:val="6253CD4A"/>
    <w:multiLevelType w:val="singleLevel"/>
    <w:tmpl w:val="6253CD4A"/>
    <w:lvl w:ilvl="0" w:tentative="1">
      <w:start w:val="1"/>
      <w:numFmt w:val="chineseCounting"/>
      <w:suff w:val="nothing"/>
      <w:lvlText w:val="（%1）"/>
      <w:lvlJc w:val="left"/>
    </w:lvl>
  </w:abstractNum>
  <w:abstractNum w:abstractNumId="1649659517">
    <w:nsid w:val="6253CE7D"/>
    <w:multiLevelType w:val="singleLevel"/>
    <w:tmpl w:val="6253CE7D"/>
    <w:lvl w:ilvl="0" w:tentative="1">
      <w:start w:val="3"/>
      <w:numFmt w:val="chineseCounting"/>
      <w:suff w:val="nothing"/>
      <w:lvlText w:val="（%1）"/>
      <w:lvlJc w:val="left"/>
    </w:lvl>
  </w:abstractNum>
  <w:abstractNum w:abstractNumId="1650340404">
    <w:nsid w:val="625E3234"/>
    <w:multiLevelType w:val="singleLevel"/>
    <w:tmpl w:val="625E3234"/>
    <w:lvl w:ilvl="0" w:tentative="1">
      <w:start w:val="2"/>
      <w:numFmt w:val="decimal"/>
      <w:suff w:val="nothing"/>
      <w:lvlText w:val="%1."/>
      <w:lvlJc w:val="left"/>
    </w:lvl>
  </w:abstractNum>
  <w:abstractNum w:abstractNumId="1650260026">
    <w:nsid w:val="625CF83A"/>
    <w:multiLevelType w:val="singleLevel"/>
    <w:tmpl w:val="625CF83A"/>
    <w:lvl w:ilvl="0" w:tentative="1">
      <w:start w:val="2"/>
      <w:numFmt w:val="decimal"/>
      <w:suff w:val="nothing"/>
      <w:lvlText w:val="（%1）"/>
      <w:lvlJc w:val="left"/>
    </w:lvl>
  </w:abstractNum>
  <w:abstractNum w:abstractNumId="1650280598">
    <w:nsid w:val="625D4896"/>
    <w:multiLevelType w:val="singleLevel"/>
    <w:tmpl w:val="625D4896"/>
    <w:lvl w:ilvl="0" w:tentative="1">
      <w:start w:val="2"/>
      <w:numFmt w:val="decimal"/>
      <w:suff w:val="nothing"/>
      <w:lvlText w:val="（%1）"/>
      <w:lvlJc w:val="left"/>
    </w:lvl>
  </w:abstractNum>
  <w:abstractNum w:abstractNumId="1589800093">
    <w:nsid w:val="5EC26C9D"/>
    <w:multiLevelType w:val="singleLevel"/>
    <w:tmpl w:val="5EC26C9D"/>
    <w:lvl w:ilvl="0" w:tentative="1">
      <w:start w:val="6"/>
      <w:numFmt w:val="chineseCounting"/>
      <w:suff w:val="nothing"/>
      <w:lvlText w:val="%1、"/>
      <w:lvlJc w:val="left"/>
    </w:lvl>
  </w:abstractNum>
  <w:num w:numId="1">
    <w:abstractNumId w:val="1650260026"/>
  </w:num>
  <w:num w:numId="2">
    <w:abstractNumId w:val="1650280598"/>
  </w:num>
  <w:num w:numId="3">
    <w:abstractNumId w:val="1649325227"/>
  </w:num>
  <w:num w:numId="4">
    <w:abstractNumId w:val="1649659210"/>
  </w:num>
  <w:num w:numId="5">
    <w:abstractNumId w:val="1649659517"/>
  </w:num>
  <w:num w:numId="6">
    <w:abstractNumId w:val="1650340404"/>
  </w:num>
  <w:num w:numId="7">
    <w:abstractNumId w:val="15898000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revisionView w:markup="0"/>
  <w:documentProtection w:edit="comments" w:enforcement="1" w:cryptProviderType="rsaFull" w:cryptAlgorithmClass="hash" w:cryptAlgorithmType="typeAny" w:cryptAlgorithmSid="4" w:cryptSpinCount="0" w:hash="IpPi6j22cpkfjXSEzq45N9v/44o=" w:salt="6pNz5rFoxPAiBfsLAV0ul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OGM5NzlhN2JhOTc3OTljZTBmY2FhN2MzNTk3ODEifQ=="/>
  </w:docVars>
  <w:rsids>
    <w:rsidRoot w:val="45086F5A"/>
    <w:rsid w:val="00006081"/>
    <w:rsid w:val="000C1FE0"/>
    <w:rsid w:val="000E73BE"/>
    <w:rsid w:val="001F6ED0"/>
    <w:rsid w:val="002344F6"/>
    <w:rsid w:val="00294302"/>
    <w:rsid w:val="002C2508"/>
    <w:rsid w:val="00380FE4"/>
    <w:rsid w:val="00495524"/>
    <w:rsid w:val="004A6E1D"/>
    <w:rsid w:val="004F43A7"/>
    <w:rsid w:val="00515D6E"/>
    <w:rsid w:val="00525D9C"/>
    <w:rsid w:val="005739DD"/>
    <w:rsid w:val="00586B8A"/>
    <w:rsid w:val="005925D9"/>
    <w:rsid w:val="005B1FDA"/>
    <w:rsid w:val="00646430"/>
    <w:rsid w:val="006B0391"/>
    <w:rsid w:val="00794BDB"/>
    <w:rsid w:val="007C4415"/>
    <w:rsid w:val="007E3027"/>
    <w:rsid w:val="007E33F7"/>
    <w:rsid w:val="00857F5B"/>
    <w:rsid w:val="008A73CE"/>
    <w:rsid w:val="0092464A"/>
    <w:rsid w:val="009976E2"/>
    <w:rsid w:val="00A6016D"/>
    <w:rsid w:val="00A72FDE"/>
    <w:rsid w:val="00B17933"/>
    <w:rsid w:val="00B46FF5"/>
    <w:rsid w:val="00B72300"/>
    <w:rsid w:val="00B77B1D"/>
    <w:rsid w:val="00C36291"/>
    <w:rsid w:val="00C633FE"/>
    <w:rsid w:val="00C71D5F"/>
    <w:rsid w:val="00C809C5"/>
    <w:rsid w:val="00D14BBB"/>
    <w:rsid w:val="00D55E6C"/>
    <w:rsid w:val="00D6629F"/>
    <w:rsid w:val="00DF16FE"/>
    <w:rsid w:val="00E05F5C"/>
    <w:rsid w:val="00F14AFF"/>
    <w:rsid w:val="00F174CB"/>
    <w:rsid w:val="00F62E34"/>
    <w:rsid w:val="012B0DF9"/>
    <w:rsid w:val="01336206"/>
    <w:rsid w:val="0159252B"/>
    <w:rsid w:val="015F5DD0"/>
    <w:rsid w:val="024D6952"/>
    <w:rsid w:val="02532A52"/>
    <w:rsid w:val="02921645"/>
    <w:rsid w:val="03374EAD"/>
    <w:rsid w:val="03533C82"/>
    <w:rsid w:val="0395216D"/>
    <w:rsid w:val="039A65F4"/>
    <w:rsid w:val="03AC7B94"/>
    <w:rsid w:val="042807E2"/>
    <w:rsid w:val="046F3155"/>
    <w:rsid w:val="04AE2C39"/>
    <w:rsid w:val="04B03BBE"/>
    <w:rsid w:val="05590B54"/>
    <w:rsid w:val="0587039E"/>
    <w:rsid w:val="05CE4396"/>
    <w:rsid w:val="05DB0227"/>
    <w:rsid w:val="062F78B2"/>
    <w:rsid w:val="06B01105"/>
    <w:rsid w:val="06BD621D"/>
    <w:rsid w:val="06C45BA7"/>
    <w:rsid w:val="06D64FA7"/>
    <w:rsid w:val="06E15158"/>
    <w:rsid w:val="06F366F7"/>
    <w:rsid w:val="06F6187A"/>
    <w:rsid w:val="08583A3F"/>
    <w:rsid w:val="08600E4C"/>
    <w:rsid w:val="088A1C90"/>
    <w:rsid w:val="09AF5C6B"/>
    <w:rsid w:val="0A54477F"/>
    <w:rsid w:val="0A8D5BDD"/>
    <w:rsid w:val="0B506FA0"/>
    <w:rsid w:val="0B7A2363"/>
    <w:rsid w:val="0BF56429"/>
    <w:rsid w:val="0C191B3D"/>
    <w:rsid w:val="0D2D19A9"/>
    <w:rsid w:val="0E1764AF"/>
    <w:rsid w:val="0E2A1C4C"/>
    <w:rsid w:val="0E922575"/>
    <w:rsid w:val="0EE67E01"/>
    <w:rsid w:val="0F611949"/>
    <w:rsid w:val="0F8F1193"/>
    <w:rsid w:val="10242C5C"/>
    <w:rsid w:val="114630DC"/>
    <w:rsid w:val="115F7210"/>
    <w:rsid w:val="12080923"/>
    <w:rsid w:val="122C565F"/>
    <w:rsid w:val="12644CF7"/>
    <w:rsid w:val="127C08E1"/>
    <w:rsid w:val="127F50E9"/>
    <w:rsid w:val="129A7E91"/>
    <w:rsid w:val="12F066A2"/>
    <w:rsid w:val="13143DBB"/>
    <w:rsid w:val="1382015D"/>
    <w:rsid w:val="13ED1A3D"/>
    <w:rsid w:val="14EA51F4"/>
    <w:rsid w:val="15065D8D"/>
    <w:rsid w:val="151350A2"/>
    <w:rsid w:val="1524753B"/>
    <w:rsid w:val="152D5C4C"/>
    <w:rsid w:val="15306BD1"/>
    <w:rsid w:val="15A915BA"/>
    <w:rsid w:val="15D64DE0"/>
    <w:rsid w:val="15E41ED5"/>
    <w:rsid w:val="15E93E01"/>
    <w:rsid w:val="161D0DD8"/>
    <w:rsid w:val="162219DC"/>
    <w:rsid w:val="163C5E0A"/>
    <w:rsid w:val="166F4F13"/>
    <w:rsid w:val="167A0DB7"/>
    <w:rsid w:val="16B447CE"/>
    <w:rsid w:val="16D162FD"/>
    <w:rsid w:val="17515952"/>
    <w:rsid w:val="17550AD5"/>
    <w:rsid w:val="179B1249"/>
    <w:rsid w:val="18435127"/>
    <w:rsid w:val="184B5B6A"/>
    <w:rsid w:val="18B84674"/>
    <w:rsid w:val="18ED3174"/>
    <w:rsid w:val="19170735"/>
    <w:rsid w:val="19CA72DF"/>
    <w:rsid w:val="1A0503BE"/>
    <w:rsid w:val="1A8D159C"/>
    <w:rsid w:val="1A8F17C9"/>
    <w:rsid w:val="1AE60D31"/>
    <w:rsid w:val="1AFA1BD0"/>
    <w:rsid w:val="1B205FDC"/>
    <w:rsid w:val="1B516D5D"/>
    <w:rsid w:val="1B6C0C0A"/>
    <w:rsid w:val="1BD3751A"/>
    <w:rsid w:val="1C0C6595"/>
    <w:rsid w:val="1C4718CD"/>
    <w:rsid w:val="1C9706F7"/>
    <w:rsid w:val="1D0B050E"/>
    <w:rsid w:val="1D3C3403"/>
    <w:rsid w:val="1D8915D1"/>
    <w:rsid w:val="1DA158FA"/>
    <w:rsid w:val="1E117F64"/>
    <w:rsid w:val="1E6D6FF8"/>
    <w:rsid w:val="1E994892"/>
    <w:rsid w:val="1FAD3208"/>
    <w:rsid w:val="1FBB471C"/>
    <w:rsid w:val="20076566"/>
    <w:rsid w:val="20322AAF"/>
    <w:rsid w:val="203778E9"/>
    <w:rsid w:val="20AD0878"/>
    <w:rsid w:val="20D76670"/>
    <w:rsid w:val="20DF0FFB"/>
    <w:rsid w:val="21BE71C1"/>
    <w:rsid w:val="21CC797F"/>
    <w:rsid w:val="225E4CF0"/>
    <w:rsid w:val="240B311F"/>
    <w:rsid w:val="241330BC"/>
    <w:rsid w:val="241F4950"/>
    <w:rsid w:val="242D0687"/>
    <w:rsid w:val="24A63930"/>
    <w:rsid w:val="24DF150B"/>
    <w:rsid w:val="24E9569E"/>
    <w:rsid w:val="2534229A"/>
    <w:rsid w:val="259D402D"/>
    <w:rsid w:val="2603166E"/>
    <w:rsid w:val="26133E87"/>
    <w:rsid w:val="267F0FB7"/>
    <w:rsid w:val="27172430"/>
    <w:rsid w:val="271B0595"/>
    <w:rsid w:val="273242DE"/>
    <w:rsid w:val="28030DB3"/>
    <w:rsid w:val="289B002D"/>
    <w:rsid w:val="28F4613D"/>
    <w:rsid w:val="293C4333"/>
    <w:rsid w:val="298E08BA"/>
    <w:rsid w:val="2A3632D5"/>
    <w:rsid w:val="2A637619"/>
    <w:rsid w:val="2A970D6C"/>
    <w:rsid w:val="2ACF18FE"/>
    <w:rsid w:val="2B3F0281"/>
    <w:rsid w:val="2B405D02"/>
    <w:rsid w:val="2B443324"/>
    <w:rsid w:val="2B8C66C7"/>
    <w:rsid w:val="2BA8442D"/>
    <w:rsid w:val="2C2F7B89"/>
    <w:rsid w:val="2C426E82"/>
    <w:rsid w:val="2C7F0C0D"/>
    <w:rsid w:val="2D334EB1"/>
    <w:rsid w:val="2E2F2B52"/>
    <w:rsid w:val="2E6049A6"/>
    <w:rsid w:val="2EB17C28"/>
    <w:rsid w:val="2ED548E2"/>
    <w:rsid w:val="2F1E025C"/>
    <w:rsid w:val="2F5219B0"/>
    <w:rsid w:val="2F9D43AD"/>
    <w:rsid w:val="2FB92659"/>
    <w:rsid w:val="300A115E"/>
    <w:rsid w:val="30257789"/>
    <w:rsid w:val="30E54344"/>
    <w:rsid w:val="319331E3"/>
    <w:rsid w:val="31F05AFB"/>
    <w:rsid w:val="32001619"/>
    <w:rsid w:val="321B52AA"/>
    <w:rsid w:val="32381773"/>
    <w:rsid w:val="326A09A8"/>
    <w:rsid w:val="32A32BF5"/>
    <w:rsid w:val="33820616"/>
    <w:rsid w:val="33984BB2"/>
    <w:rsid w:val="34002B9A"/>
    <w:rsid w:val="34224B16"/>
    <w:rsid w:val="34274A78"/>
    <w:rsid w:val="34307E6A"/>
    <w:rsid w:val="34762022"/>
    <w:rsid w:val="348169F9"/>
    <w:rsid w:val="34BD5954"/>
    <w:rsid w:val="34D310B7"/>
    <w:rsid w:val="355F1FA0"/>
    <w:rsid w:val="35A2048B"/>
    <w:rsid w:val="35C51944"/>
    <w:rsid w:val="35CF2253"/>
    <w:rsid w:val="36692452"/>
    <w:rsid w:val="3696421B"/>
    <w:rsid w:val="36B54AD0"/>
    <w:rsid w:val="36CD4DFE"/>
    <w:rsid w:val="370F6463"/>
    <w:rsid w:val="37564659"/>
    <w:rsid w:val="37626ADC"/>
    <w:rsid w:val="378828AA"/>
    <w:rsid w:val="37D16521"/>
    <w:rsid w:val="37F863E1"/>
    <w:rsid w:val="389C366B"/>
    <w:rsid w:val="38BD7423"/>
    <w:rsid w:val="393D31F5"/>
    <w:rsid w:val="39AE0030"/>
    <w:rsid w:val="39D03A68"/>
    <w:rsid w:val="3A647086"/>
    <w:rsid w:val="3A883217"/>
    <w:rsid w:val="3A9378C5"/>
    <w:rsid w:val="3B3223AB"/>
    <w:rsid w:val="3BCD002B"/>
    <w:rsid w:val="3C2164D0"/>
    <w:rsid w:val="3C2A03C4"/>
    <w:rsid w:val="3C2E6DCB"/>
    <w:rsid w:val="3C643A21"/>
    <w:rsid w:val="3CD14A80"/>
    <w:rsid w:val="3CD704DD"/>
    <w:rsid w:val="3CF5550F"/>
    <w:rsid w:val="3D941B95"/>
    <w:rsid w:val="3E197BF0"/>
    <w:rsid w:val="3E8B46AB"/>
    <w:rsid w:val="3F380047"/>
    <w:rsid w:val="3F8A67CD"/>
    <w:rsid w:val="3F8B2050"/>
    <w:rsid w:val="3F8F2C54"/>
    <w:rsid w:val="406F7A9E"/>
    <w:rsid w:val="409544FA"/>
    <w:rsid w:val="41053ABB"/>
    <w:rsid w:val="415025D7"/>
    <w:rsid w:val="42AD4109"/>
    <w:rsid w:val="42CF366C"/>
    <w:rsid w:val="42DA01BE"/>
    <w:rsid w:val="430125FC"/>
    <w:rsid w:val="431B3778"/>
    <w:rsid w:val="44050BA5"/>
    <w:rsid w:val="443800FA"/>
    <w:rsid w:val="444C6D9A"/>
    <w:rsid w:val="447446DC"/>
    <w:rsid w:val="44B40D48"/>
    <w:rsid w:val="44F14C65"/>
    <w:rsid w:val="45086F5A"/>
    <w:rsid w:val="459A22C0"/>
    <w:rsid w:val="46810F38"/>
    <w:rsid w:val="46CF6AB9"/>
    <w:rsid w:val="47241DC7"/>
    <w:rsid w:val="478615D4"/>
    <w:rsid w:val="47C076C6"/>
    <w:rsid w:val="48811C35"/>
    <w:rsid w:val="490779DE"/>
    <w:rsid w:val="4941303B"/>
    <w:rsid w:val="49EF6D33"/>
    <w:rsid w:val="4A1A079F"/>
    <w:rsid w:val="4A6D602B"/>
    <w:rsid w:val="4B1A6144"/>
    <w:rsid w:val="4B2D2BE6"/>
    <w:rsid w:val="4B481211"/>
    <w:rsid w:val="4BA55D28"/>
    <w:rsid w:val="4BF93FEF"/>
    <w:rsid w:val="4BFC6736"/>
    <w:rsid w:val="4C524CDD"/>
    <w:rsid w:val="4CE452D8"/>
    <w:rsid w:val="4DB30006"/>
    <w:rsid w:val="4E7C32D2"/>
    <w:rsid w:val="4E8C356D"/>
    <w:rsid w:val="4F350502"/>
    <w:rsid w:val="4F7D417A"/>
    <w:rsid w:val="4FF053B2"/>
    <w:rsid w:val="4FFD7ED2"/>
    <w:rsid w:val="50095F5C"/>
    <w:rsid w:val="500B2D00"/>
    <w:rsid w:val="505A2863"/>
    <w:rsid w:val="50835C26"/>
    <w:rsid w:val="50847E24"/>
    <w:rsid w:val="512344AA"/>
    <w:rsid w:val="513015C2"/>
    <w:rsid w:val="51674C2F"/>
    <w:rsid w:val="51BB4ECF"/>
    <w:rsid w:val="522A39D8"/>
    <w:rsid w:val="527B24DD"/>
    <w:rsid w:val="53BE1870"/>
    <w:rsid w:val="53E917BB"/>
    <w:rsid w:val="542C0B5B"/>
    <w:rsid w:val="545A2D73"/>
    <w:rsid w:val="54F20968"/>
    <w:rsid w:val="54FE1B5F"/>
    <w:rsid w:val="558966CA"/>
    <w:rsid w:val="56376A81"/>
    <w:rsid w:val="567E71F5"/>
    <w:rsid w:val="589B553D"/>
    <w:rsid w:val="58A00174"/>
    <w:rsid w:val="58CB33CB"/>
    <w:rsid w:val="58DD7FD9"/>
    <w:rsid w:val="58F86605"/>
    <w:rsid w:val="591B7ABE"/>
    <w:rsid w:val="5A3B5997"/>
    <w:rsid w:val="5A4E5DF2"/>
    <w:rsid w:val="5B3E42C0"/>
    <w:rsid w:val="5B4A22D1"/>
    <w:rsid w:val="5B8C1E41"/>
    <w:rsid w:val="5BCA1926"/>
    <w:rsid w:val="5C343553"/>
    <w:rsid w:val="5C5A3793"/>
    <w:rsid w:val="5D2D376B"/>
    <w:rsid w:val="5D39757E"/>
    <w:rsid w:val="5D923490"/>
    <w:rsid w:val="5DAA0B36"/>
    <w:rsid w:val="5DB06652"/>
    <w:rsid w:val="5EC13B82"/>
    <w:rsid w:val="5ECA6886"/>
    <w:rsid w:val="5F772E4E"/>
    <w:rsid w:val="5FB63195"/>
    <w:rsid w:val="5FBA204D"/>
    <w:rsid w:val="5FE11A5B"/>
    <w:rsid w:val="602838BC"/>
    <w:rsid w:val="60617B6C"/>
    <w:rsid w:val="60672FB9"/>
    <w:rsid w:val="60710045"/>
    <w:rsid w:val="61377E0E"/>
    <w:rsid w:val="625F30F4"/>
    <w:rsid w:val="62695C01"/>
    <w:rsid w:val="63A42106"/>
    <w:rsid w:val="64107237"/>
    <w:rsid w:val="64426B0C"/>
    <w:rsid w:val="646711BC"/>
    <w:rsid w:val="64710555"/>
    <w:rsid w:val="648839FD"/>
    <w:rsid w:val="64C0478A"/>
    <w:rsid w:val="65670E6D"/>
    <w:rsid w:val="657D3011"/>
    <w:rsid w:val="65863920"/>
    <w:rsid w:val="659628B6"/>
    <w:rsid w:val="659939B1"/>
    <w:rsid w:val="65A73E55"/>
    <w:rsid w:val="65C06F7D"/>
    <w:rsid w:val="65D12A9B"/>
    <w:rsid w:val="660F334B"/>
    <w:rsid w:val="664A365E"/>
    <w:rsid w:val="66590810"/>
    <w:rsid w:val="667B3E2D"/>
    <w:rsid w:val="66A84CFD"/>
    <w:rsid w:val="66B2560C"/>
    <w:rsid w:val="66C877B0"/>
    <w:rsid w:val="66D74547"/>
    <w:rsid w:val="677925B3"/>
    <w:rsid w:val="67E77C07"/>
    <w:rsid w:val="683A1C10"/>
    <w:rsid w:val="68754EED"/>
    <w:rsid w:val="68AC0C4A"/>
    <w:rsid w:val="68B66FDB"/>
    <w:rsid w:val="68DA0494"/>
    <w:rsid w:val="690B0C63"/>
    <w:rsid w:val="6922410C"/>
    <w:rsid w:val="69393D31"/>
    <w:rsid w:val="69F91FDB"/>
    <w:rsid w:val="6A104C8E"/>
    <w:rsid w:val="6A2471B2"/>
    <w:rsid w:val="6A2A6BC6"/>
    <w:rsid w:val="6A670F20"/>
    <w:rsid w:val="6B073028"/>
    <w:rsid w:val="6B6668C4"/>
    <w:rsid w:val="6B6D29CC"/>
    <w:rsid w:val="6BA500C3"/>
    <w:rsid w:val="6BBD3A50"/>
    <w:rsid w:val="6BF95032"/>
    <w:rsid w:val="6C041C46"/>
    <w:rsid w:val="6C311CCF"/>
    <w:rsid w:val="6C915DC1"/>
    <w:rsid w:val="6C953733"/>
    <w:rsid w:val="6D3A643F"/>
    <w:rsid w:val="6D7F36B1"/>
    <w:rsid w:val="6E293B49"/>
    <w:rsid w:val="6E406FF2"/>
    <w:rsid w:val="6E414A73"/>
    <w:rsid w:val="6F426814"/>
    <w:rsid w:val="6F77126D"/>
    <w:rsid w:val="6FB33650"/>
    <w:rsid w:val="6FC438EB"/>
    <w:rsid w:val="701170EA"/>
    <w:rsid w:val="702020CF"/>
    <w:rsid w:val="70D35CA6"/>
    <w:rsid w:val="719637E6"/>
    <w:rsid w:val="71EE19CA"/>
    <w:rsid w:val="722B2DE0"/>
    <w:rsid w:val="727D1C38"/>
    <w:rsid w:val="72B456F5"/>
    <w:rsid w:val="72D40063"/>
    <w:rsid w:val="730C3DA9"/>
    <w:rsid w:val="73542021"/>
    <w:rsid w:val="73C36379"/>
    <w:rsid w:val="73DB28BA"/>
    <w:rsid w:val="747A00A6"/>
    <w:rsid w:val="74F35B0A"/>
    <w:rsid w:val="75144A21"/>
    <w:rsid w:val="759C3680"/>
    <w:rsid w:val="768F5592"/>
    <w:rsid w:val="76A9033B"/>
    <w:rsid w:val="76FC2343"/>
    <w:rsid w:val="773E082E"/>
    <w:rsid w:val="780B6C7D"/>
    <w:rsid w:val="78152E10"/>
    <w:rsid w:val="787B6037"/>
    <w:rsid w:val="787F77E4"/>
    <w:rsid w:val="79A83226"/>
    <w:rsid w:val="7A2A5D7E"/>
    <w:rsid w:val="7A2D6D03"/>
    <w:rsid w:val="7A310684"/>
    <w:rsid w:val="7A5824E7"/>
    <w:rsid w:val="7ADD6CA7"/>
    <w:rsid w:val="7BCC76A8"/>
    <w:rsid w:val="7C07400A"/>
    <w:rsid w:val="7C687527"/>
    <w:rsid w:val="7D053C37"/>
    <w:rsid w:val="7D6961D0"/>
    <w:rsid w:val="7D7A4702"/>
    <w:rsid w:val="7DAF30C1"/>
    <w:rsid w:val="7E2A628E"/>
    <w:rsid w:val="7E9A1DC5"/>
    <w:rsid w:val="7EA83E1D"/>
    <w:rsid w:val="7EB670CE"/>
    <w:rsid w:val="7F3A0649"/>
    <w:rsid w:val="7FF66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eastAsia="仿宋_GB2312" w:asciiTheme="minorHAnsi" w:hAnsiTheme="minorHAnsi" w:cstheme="minorBidi"/>
      <w:kern w:val="2"/>
      <w:sz w:val="30"/>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Theme="majorHAnsi" w:hAnsiTheme="majorHAnsi" w:eastAsiaTheme="majorEastAsia"/>
      <w:b/>
      <w:bCs/>
      <w:kern w:val="28"/>
      <w:sz w:val="32"/>
      <w:szCs w:val="32"/>
    </w:rPr>
  </w:style>
  <w:style w:type="paragraph" w:styleId="5">
    <w:name w:val="annotation subject"/>
    <w:basedOn w:val="6"/>
    <w:next w:val="6"/>
    <w:link w:val="22"/>
    <w:qFormat/>
    <w:uiPriority w:val="0"/>
    <w:rPr>
      <w:b/>
      <w:bCs/>
    </w:rPr>
  </w:style>
  <w:style w:type="paragraph" w:styleId="6">
    <w:name w:val="annotation text"/>
    <w:basedOn w:val="1"/>
    <w:link w:val="21"/>
    <w:qFormat/>
    <w:uiPriority w:val="0"/>
    <w:pPr>
      <w:jc w:val="left"/>
    </w:pPr>
  </w:style>
  <w:style w:type="paragraph" w:styleId="7">
    <w:name w:val="Normal Indent"/>
    <w:basedOn w:val="1"/>
    <w:qFormat/>
    <w:uiPriority w:val="0"/>
    <w:pPr>
      <w:ind w:firstLine="200" w:firstLineChars="200"/>
    </w:pPr>
    <w:rPr>
      <w:sz w:val="28"/>
      <w:szCs w:val="20"/>
    </w:rPr>
  </w:style>
  <w:style w:type="paragraph" w:styleId="8">
    <w:name w:val="Body Text"/>
    <w:basedOn w:val="1"/>
    <w:qFormat/>
    <w:uiPriority w:val="0"/>
    <w:pPr>
      <w:spacing w:line="360" w:lineRule="auto"/>
      <w:jc w:val="center"/>
    </w:pPr>
    <w:rPr>
      <w:b/>
      <w:sz w:val="44"/>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8">
    <w:name w:val="Char"/>
    <w:basedOn w:val="1"/>
    <w:qFormat/>
    <w:uiPriority w:val="0"/>
    <w:pPr>
      <w:widowControl/>
      <w:spacing w:after="160" w:line="240" w:lineRule="exact"/>
      <w:jc w:val="left"/>
    </w:pPr>
  </w:style>
  <w:style w:type="paragraph" w:customStyle="1" w:styleId="19">
    <w:name w:val="Body text|1"/>
    <w:basedOn w:val="1"/>
    <w:qFormat/>
    <w:uiPriority w:val="0"/>
    <w:pPr>
      <w:spacing w:line="420" w:lineRule="auto"/>
      <w:ind w:firstLine="400"/>
    </w:pPr>
    <w:rPr>
      <w:rFonts w:ascii="宋体" w:hAnsi="宋体" w:cs="宋体"/>
      <w:szCs w:val="30"/>
      <w:lang w:val="zh-TW" w:eastAsia="zh-TW" w:bidi="zh-TW"/>
    </w:rPr>
  </w:style>
  <w:style w:type="paragraph" w:customStyle="1" w:styleId="20">
    <w:name w:val="闻政正文"/>
    <w:basedOn w:val="1"/>
    <w:qFormat/>
    <w:uiPriority w:val="99"/>
    <w:pPr>
      <w:spacing w:line="500" w:lineRule="exact"/>
      <w:ind w:firstLine="883" w:firstLineChars="200"/>
    </w:pPr>
    <w:rPr>
      <w:rFonts w:ascii="Times New Roman" w:hAnsi="Times New Roman"/>
      <w:kern w:val="0"/>
      <w:sz w:val="28"/>
      <w:szCs w:val="28"/>
    </w:rPr>
  </w:style>
  <w:style w:type="character" w:customStyle="1" w:styleId="21">
    <w:name w:val="批注文字 字符"/>
    <w:basedOn w:val="14"/>
    <w:link w:val="6"/>
    <w:qFormat/>
    <w:uiPriority w:val="0"/>
    <w:rPr>
      <w:rFonts w:eastAsia="仿宋_GB2312" w:asciiTheme="minorHAnsi" w:hAnsiTheme="minorHAnsi" w:cstheme="minorBidi"/>
      <w:kern w:val="2"/>
      <w:sz w:val="30"/>
      <w:szCs w:val="24"/>
    </w:rPr>
  </w:style>
  <w:style w:type="character" w:customStyle="1" w:styleId="22">
    <w:name w:val="批注主题 字符"/>
    <w:basedOn w:val="21"/>
    <w:link w:val="5"/>
    <w:qFormat/>
    <w:uiPriority w:val="0"/>
    <w:rPr>
      <w:rFonts w:eastAsia="仿宋_GB2312" w:asciiTheme="minorHAnsi" w:hAnsiTheme="minorHAnsi" w:cstheme="minorBidi"/>
      <w:b/>
      <w:bCs/>
      <w:kern w:val="2"/>
      <w:sz w:val="30"/>
      <w:szCs w:val="24"/>
    </w:rPr>
  </w:style>
  <w:style w:type="character" w:customStyle="1" w:styleId="23">
    <w:name w:val="批注框文本 字符"/>
    <w:basedOn w:val="14"/>
    <w:link w:val="9"/>
    <w:qFormat/>
    <w:uiPriority w:val="0"/>
    <w:rPr>
      <w:rFonts w:eastAsia="仿宋_GB2312" w:asciiTheme="minorHAnsi" w:hAnsiTheme="minorHAnsi" w:cstheme="minorBidi"/>
      <w:kern w:val="2"/>
      <w:sz w:val="18"/>
      <w:szCs w:val="18"/>
    </w:rPr>
  </w:style>
  <w:style w:type="character" w:customStyle="1" w:styleId="24">
    <w:name w:val="font01"/>
    <w:basedOn w:val="14"/>
    <w:qFormat/>
    <w:uiPriority w:val="0"/>
    <w:rPr>
      <w:rFonts w:hint="eastAsia" w:ascii="宋体" w:hAnsi="宋体" w:eastAsia="宋体" w:cs="宋体"/>
      <w:color w:val="000000"/>
      <w:sz w:val="22"/>
      <w:szCs w:val="22"/>
      <w:u w:val="none"/>
    </w:rPr>
  </w:style>
  <w:style w:type="character" w:customStyle="1" w:styleId="25">
    <w:name w:val="NormalCharacter"/>
    <w:link w:val="1"/>
    <w:semiHidden/>
    <w:qFormat/>
    <w:uiPriority w:val="0"/>
    <w:rPr>
      <w:rFonts w:eastAsia="仿宋_GB2312" w:asciiTheme="minorHAnsi" w:hAnsiTheme="minorHAnsi" w:cstheme="minorBidi"/>
      <w:kern w:val="2"/>
      <w:sz w:val="30"/>
      <w:szCs w:val="24"/>
      <w:lang w:val="en-US" w:eastAsia="zh-CN" w:bidi="ar-SA"/>
    </w:rPr>
  </w:style>
  <w:style w:type="paragraph" w:customStyle="1" w:styleId="26">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control" Target="activeX/activeX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Desktop\&#26032;&#31119;&#24425;&#20989;2017-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805F2D2-2984-45C2-8689-0E4DC4E42471}"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9176</Words>
  <Characters>10045</Characters>
  <Lines>45</Lines>
  <Paragraphs>12</Paragraphs>
  <ScaleCrop>false</ScaleCrop>
  <LinksUpToDate>false</LinksUpToDate>
  <CharactersWithSpaces>10271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2020-06-23T04:27:00Z</dcterms:created>
  <dc:creator>张雯婷</dc:creator>
  <cp:lastModifiedBy>高燕军</cp:lastModifiedBy>
  <cp:lastPrinted>2022-04-11T06:41:00Z</cp:lastPrinted>
  <dcterms:modified xsi:type="dcterms:W3CDTF">2023-04-13T03:59:21Z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A9B61EFCA28A4F0DB9058DE3D40DDF5D</vt:lpwstr>
  </property>
</Properties>
</file>